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685"/>
      </w:tblGrid>
      <w:tr w:rsidR="00045667" w:rsidRPr="00045667" w:rsidTr="001021C2">
        <w:tc>
          <w:tcPr>
            <w:tcW w:w="14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5667" w:rsidRPr="001021C2" w:rsidRDefault="001021C2" w:rsidP="001021C2">
            <w:pPr>
              <w:spacing w:line="292" w:lineRule="exact"/>
              <w:ind w:right="5584"/>
              <w:jc w:val="righ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RÚBRICA INICIO DE LA EDAD MEDIA</w:t>
            </w:r>
          </w:p>
        </w:tc>
      </w:tr>
    </w:tbl>
    <w:p w:rsidR="00045667" w:rsidRPr="00045667" w:rsidRDefault="00045667" w:rsidP="00045667">
      <w:p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45667">
        <w:rPr>
          <w:rFonts w:ascii="Ubuntu" w:eastAsia="Times New Roman" w:hAnsi="Ubuntu" w:cs="Times New Roman"/>
          <w:kern w:val="3"/>
          <w:sz w:val="16"/>
          <w:szCs w:val="16"/>
          <w:lang w:eastAsia="zh-CN"/>
        </w:rPr>
        <w:t>.</w:t>
      </w:r>
      <w:r w:rsidRPr="00045667">
        <w:rPr>
          <w:rFonts w:ascii="Ubuntu" w:eastAsia="Times New Roman" w:hAnsi="Ubuntu" w:cs="Times New Roman"/>
          <w:kern w:val="3"/>
          <w:sz w:val="24"/>
          <w:szCs w:val="24"/>
          <w:lang w:eastAsia="zh-CN"/>
        </w:rPr>
        <w:br/>
      </w:r>
      <w:r w:rsidRPr="00045667">
        <w:rPr>
          <w:rFonts w:ascii="Ubuntu" w:eastAsia="Times New Roman" w:hAnsi="Ubuntu" w:cs="Arial"/>
          <w:color w:val="000000"/>
          <w:kern w:val="3"/>
          <w:sz w:val="20"/>
          <w:szCs w:val="20"/>
          <w:lang w:eastAsia="zh-CN"/>
        </w:rPr>
        <w:t xml:space="preserve">Nombre del alumno: </w:t>
      </w:r>
      <w:r w:rsidRPr="00045667">
        <w:rPr>
          <w:rFonts w:ascii="Ubuntu" w:eastAsia="Times New Roman" w:hAnsi="Ubuntu" w:cs="Arial"/>
          <w:color w:val="000000"/>
          <w:kern w:val="3"/>
          <w:sz w:val="18"/>
          <w:szCs w:val="18"/>
          <w:lang w:eastAsia="zh-CN"/>
        </w:rPr>
        <w:t>______________________________________________________</w:t>
      </w:r>
    </w:p>
    <w:tbl>
      <w:tblPr>
        <w:tblW w:w="1462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26"/>
        <w:gridCol w:w="3147"/>
        <w:gridCol w:w="2934"/>
        <w:gridCol w:w="2742"/>
        <w:gridCol w:w="2576"/>
      </w:tblGrid>
      <w:tr w:rsidR="00045667" w:rsidRPr="00045667" w:rsidTr="001021C2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5667" w:rsidRPr="001021C2" w:rsidRDefault="00045667" w:rsidP="00045667">
            <w:pPr>
              <w:suppressLineNumbers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kern w:val="3"/>
                <w:sz w:val="18"/>
                <w:szCs w:val="18"/>
                <w:lang w:eastAsia="zh-CN"/>
              </w:rPr>
            </w:pPr>
            <w:r w:rsidRPr="001021C2">
              <w:rPr>
                <w:rFonts w:ascii="Arial" w:eastAsia="Times New Roman" w:hAnsi="Arial" w:cs="Arial"/>
                <w:b/>
                <w:color w:val="000000"/>
                <w:kern w:val="3"/>
                <w:sz w:val="18"/>
                <w:szCs w:val="18"/>
                <w:lang w:eastAsia="zh-CN"/>
              </w:rPr>
              <w:t>ASPECTOS</w:t>
            </w:r>
            <w:r w:rsidR="001021C2" w:rsidRPr="001021C2">
              <w:rPr>
                <w:rFonts w:ascii="Arial" w:eastAsia="Times New Roman" w:hAnsi="Arial" w:cs="Arial"/>
                <w:b/>
                <w:color w:val="000000"/>
                <w:kern w:val="3"/>
                <w:sz w:val="18"/>
                <w:szCs w:val="18"/>
                <w:lang w:eastAsia="zh-CN"/>
              </w:rPr>
              <w:t>/ GRADO DE CONSECUCIÓN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5667" w:rsidRPr="00045667" w:rsidRDefault="001021C2" w:rsidP="00045667">
            <w:pPr>
              <w:suppressLineNumbers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Source Sans Pro" w:eastAsia="Times New Roman" w:hAnsi="Source Sans Pro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4F2B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GRADO DE CONSECUCIÓN ALTO(3)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5667" w:rsidRPr="00045667" w:rsidRDefault="001021C2" w:rsidP="00045667">
            <w:pPr>
              <w:suppressLineNumbers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Source Sans Pro" w:eastAsia="Times New Roman" w:hAnsi="Source Sans Pro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</w:pPr>
            <w:r w:rsidRPr="004F2B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GRADO DE CONSECUCIÓN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MEDIO</w:t>
            </w:r>
            <w:r w:rsidRPr="004F2B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(2)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5667" w:rsidRPr="00045667" w:rsidRDefault="001021C2" w:rsidP="00045667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Source Sans Pro" w:eastAsia="Times New Roman" w:hAnsi="Source Sans Pro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</w:pPr>
            <w:r w:rsidRPr="004F2B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GRADO DE CONSECUCIÓN SUFICIENTE 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</w:t>
            </w:r>
            <w:r w:rsidRPr="004F2B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5667" w:rsidRPr="00045667" w:rsidRDefault="001021C2" w:rsidP="00045667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Source Sans Pro" w:eastAsia="Times New Roman" w:hAnsi="Source Sans Pro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</w:pPr>
            <w:r w:rsidRPr="004F2B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GRADO DE CONSECUCIÓN INADECUADO 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0)</w:t>
            </w:r>
          </w:p>
        </w:tc>
      </w:tr>
      <w:tr w:rsidR="001021C2" w:rsidRPr="00045667" w:rsidTr="001021C2">
        <w:tc>
          <w:tcPr>
            <w:tcW w:w="32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1C2" w:rsidRPr="001021C2" w:rsidRDefault="001021C2" w:rsidP="00CB24D7">
            <w:pPr>
              <w:pStyle w:val="TableParagraph"/>
              <w:spacing w:before="2"/>
              <w:ind w:left="0"/>
              <w:rPr>
                <w:b/>
                <w:sz w:val="18"/>
                <w:szCs w:val="18"/>
              </w:rPr>
            </w:pPr>
          </w:p>
          <w:p w:rsidR="001021C2" w:rsidRPr="001021C2" w:rsidRDefault="001021C2" w:rsidP="00CB24D7">
            <w:pPr>
              <w:pStyle w:val="TableParagraph"/>
              <w:ind w:left="100" w:right="479"/>
              <w:rPr>
                <w:b/>
                <w:sz w:val="18"/>
                <w:szCs w:val="18"/>
              </w:rPr>
            </w:pPr>
            <w:r w:rsidRPr="001021C2">
              <w:rPr>
                <w:b/>
                <w:sz w:val="18"/>
                <w:szCs w:val="18"/>
              </w:rPr>
              <w:t>Conoce el origen del final de Edad Antigua.</w:t>
            </w:r>
          </w:p>
          <w:p w:rsidR="001021C2" w:rsidRPr="001021C2" w:rsidRDefault="001021C2" w:rsidP="00CB24D7">
            <w:pPr>
              <w:pStyle w:val="TableParagraph"/>
              <w:spacing w:before="6"/>
              <w:ind w:left="100"/>
              <w:rPr>
                <w:b/>
                <w:sz w:val="18"/>
                <w:szCs w:val="18"/>
              </w:rPr>
            </w:pPr>
            <w:r w:rsidRPr="001021C2">
              <w:rPr>
                <w:b/>
                <w:sz w:val="18"/>
                <w:szCs w:val="18"/>
              </w:rPr>
              <w:t>20</w:t>
            </w:r>
            <w:r w:rsidRPr="001021C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3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1C2" w:rsidRDefault="001021C2" w:rsidP="00CB24D7">
            <w:pPr>
              <w:pStyle w:val="TableParagraph"/>
              <w:spacing w:before="99"/>
              <w:ind w:right="148"/>
              <w:rPr>
                <w:sz w:val="18"/>
              </w:rPr>
            </w:pPr>
            <w:r>
              <w:rPr>
                <w:sz w:val="18"/>
              </w:rPr>
              <w:t>Conoce las causas de la Caída del Imperio Romano, cómo se desarrollaron los acontecimientos en los últimos años.</w:t>
            </w:r>
          </w:p>
        </w:tc>
        <w:tc>
          <w:tcPr>
            <w:tcW w:w="2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1C2" w:rsidRDefault="001021C2" w:rsidP="00CB24D7">
            <w:pPr>
              <w:pStyle w:val="TableParagraph"/>
              <w:spacing w:before="99"/>
              <w:ind w:right="528"/>
              <w:rPr>
                <w:sz w:val="18"/>
              </w:rPr>
            </w:pPr>
            <w:r>
              <w:rPr>
                <w:sz w:val="18"/>
              </w:rPr>
              <w:t>Conoce las causas del Imperio Romano.</w:t>
            </w:r>
          </w:p>
        </w:tc>
        <w:tc>
          <w:tcPr>
            <w:tcW w:w="27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1C2" w:rsidRDefault="001021C2" w:rsidP="00CB24D7">
            <w:pPr>
              <w:pStyle w:val="TableParagraph"/>
              <w:spacing w:before="99"/>
              <w:ind w:right="485"/>
              <w:rPr>
                <w:sz w:val="18"/>
              </w:rPr>
            </w:pPr>
            <w:r>
              <w:rPr>
                <w:sz w:val="18"/>
              </w:rPr>
              <w:t>Conoce la existencia de la caída del Imperio Romano.</w:t>
            </w:r>
          </w:p>
        </w:tc>
        <w:tc>
          <w:tcPr>
            <w:tcW w:w="2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1C2" w:rsidRDefault="001021C2" w:rsidP="00CB24D7">
            <w:pPr>
              <w:pStyle w:val="TableParagraph"/>
              <w:spacing w:before="99"/>
              <w:ind w:right="127"/>
              <w:rPr>
                <w:sz w:val="18"/>
              </w:rPr>
            </w:pPr>
            <w:r>
              <w:rPr>
                <w:sz w:val="18"/>
              </w:rPr>
              <w:t>No conoce el final de la Edad Antigua.</w:t>
            </w:r>
          </w:p>
        </w:tc>
      </w:tr>
      <w:tr w:rsidR="001021C2" w:rsidRPr="00045667" w:rsidTr="001021C2">
        <w:tc>
          <w:tcPr>
            <w:tcW w:w="32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1C2" w:rsidRPr="001021C2" w:rsidRDefault="001021C2" w:rsidP="00CB24D7">
            <w:pPr>
              <w:pStyle w:val="TableParagraph"/>
              <w:spacing w:before="44"/>
              <w:ind w:left="100" w:right="258"/>
              <w:rPr>
                <w:b/>
                <w:sz w:val="18"/>
                <w:szCs w:val="18"/>
              </w:rPr>
            </w:pPr>
          </w:p>
          <w:p w:rsidR="001021C2" w:rsidRPr="001021C2" w:rsidRDefault="001021C2" w:rsidP="00CB24D7">
            <w:pPr>
              <w:pStyle w:val="TableParagraph"/>
              <w:spacing w:before="44"/>
              <w:ind w:left="100" w:right="258"/>
              <w:rPr>
                <w:b/>
                <w:sz w:val="18"/>
                <w:szCs w:val="18"/>
              </w:rPr>
            </w:pPr>
            <w:r w:rsidRPr="001021C2">
              <w:rPr>
                <w:b/>
                <w:sz w:val="18"/>
                <w:szCs w:val="18"/>
              </w:rPr>
              <w:t>Localiza en el tiempo y en el espacio los acontecimientos históricos más relevantes de la Caída del Imperio Romano.</w:t>
            </w:r>
          </w:p>
          <w:p w:rsidR="001021C2" w:rsidRPr="001021C2" w:rsidRDefault="001021C2" w:rsidP="00CB24D7">
            <w:pPr>
              <w:pStyle w:val="TableParagraph"/>
              <w:spacing w:before="5"/>
              <w:ind w:left="100"/>
              <w:rPr>
                <w:b/>
                <w:sz w:val="18"/>
                <w:szCs w:val="18"/>
              </w:rPr>
            </w:pPr>
            <w:r w:rsidRPr="001021C2">
              <w:rPr>
                <w:b/>
                <w:sz w:val="18"/>
                <w:szCs w:val="18"/>
              </w:rPr>
              <w:t>20</w:t>
            </w:r>
            <w:r w:rsidRPr="001021C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3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1C2" w:rsidRDefault="001021C2" w:rsidP="00CB24D7">
            <w:pPr>
              <w:pStyle w:val="TableParagraph"/>
              <w:spacing w:before="49"/>
              <w:ind w:right="458"/>
              <w:rPr>
                <w:sz w:val="18"/>
              </w:rPr>
            </w:pPr>
          </w:p>
          <w:p w:rsidR="001021C2" w:rsidRDefault="001021C2" w:rsidP="00CB24D7">
            <w:pPr>
              <w:pStyle w:val="TableParagraph"/>
              <w:spacing w:before="49"/>
              <w:ind w:right="458"/>
              <w:rPr>
                <w:sz w:val="18"/>
              </w:rPr>
            </w:pPr>
            <w:r>
              <w:rPr>
                <w:sz w:val="18"/>
              </w:rPr>
              <w:t>Localiza en el tiempo y en el espacio los acontecimientos históricos más relevantes de la Caída del Imperio Romano.</w:t>
            </w:r>
          </w:p>
        </w:tc>
        <w:tc>
          <w:tcPr>
            <w:tcW w:w="2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1C2" w:rsidRDefault="001021C2" w:rsidP="00CB24D7">
            <w:pPr>
              <w:pStyle w:val="TableParagraph"/>
              <w:spacing w:before="49"/>
              <w:ind w:right="104"/>
              <w:rPr>
                <w:sz w:val="18"/>
              </w:rPr>
            </w:pPr>
            <w:r>
              <w:rPr>
                <w:sz w:val="18"/>
              </w:rPr>
              <w:t>Localiza en el tiempo y en el espacio algunos acontecimientos históricos relevantes de la Caída del Imperio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Romano.</w:t>
            </w:r>
          </w:p>
        </w:tc>
        <w:tc>
          <w:tcPr>
            <w:tcW w:w="27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1C2" w:rsidRDefault="001021C2" w:rsidP="00CB24D7">
            <w:pPr>
              <w:pStyle w:val="TableParagraph"/>
              <w:spacing w:before="49"/>
              <w:ind w:right="365"/>
              <w:rPr>
                <w:sz w:val="18"/>
              </w:rPr>
            </w:pPr>
            <w:r>
              <w:rPr>
                <w:sz w:val="18"/>
              </w:rPr>
              <w:t>Localiza en el tiempo o en el espacio algunos acontecimientos históricos relevantes de la Caída del Imperio Romano.</w:t>
            </w:r>
          </w:p>
        </w:tc>
        <w:tc>
          <w:tcPr>
            <w:tcW w:w="2576" w:type="dxa"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1C2" w:rsidRDefault="001021C2" w:rsidP="00CB24D7">
            <w:pPr>
              <w:pStyle w:val="TableParagraph"/>
              <w:spacing w:before="49"/>
              <w:ind w:right="177"/>
              <w:rPr>
                <w:sz w:val="18"/>
              </w:rPr>
            </w:pPr>
            <w:r>
              <w:rPr>
                <w:sz w:val="18"/>
              </w:rPr>
              <w:t>No localiza ni en el tiempo ni el espacio los acontecimientos históricos relevantes de la Caída del Imperio Romano.</w:t>
            </w:r>
          </w:p>
        </w:tc>
      </w:tr>
      <w:tr w:rsidR="001021C2" w:rsidRPr="00045667" w:rsidTr="001021C2">
        <w:tc>
          <w:tcPr>
            <w:tcW w:w="32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1C2" w:rsidRPr="001021C2" w:rsidRDefault="001021C2" w:rsidP="00CB24D7">
            <w:pPr>
              <w:pStyle w:val="TableParagraph"/>
              <w:spacing w:before="5"/>
              <w:ind w:left="0"/>
              <w:rPr>
                <w:b/>
                <w:sz w:val="18"/>
                <w:szCs w:val="18"/>
              </w:rPr>
            </w:pPr>
          </w:p>
          <w:p w:rsidR="001021C2" w:rsidRPr="001021C2" w:rsidRDefault="001021C2" w:rsidP="00CB24D7">
            <w:pPr>
              <w:pStyle w:val="TableParagraph"/>
              <w:spacing w:before="1"/>
              <w:ind w:left="100" w:right="879"/>
              <w:rPr>
                <w:b/>
                <w:sz w:val="18"/>
                <w:szCs w:val="18"/>
              </w:rPr>
            </w:pPr>
            <w:r w:rsidRPr="001021C2">
              <w:rPr>
                <w:b/>
                <w:sz w:val="18"/>
                <w:szCs w:val="18"/>
              </w:rPr>
              <w:t>Identifica el origen de la invasión.</w:t>
            </w:r>
          </w:p>
          <w:p w:rsidR="001021C2" w:rsidRPr="001021C2" w:rsidRDefault="001021C2" w:rsidP="001021C2">
            <w:pPr>
              <w:pStyle w:val="TableParagraph"/>
              <w:spacing w:before="3"/>
              <w:ind w:left="100"/>
              <w:rPr>
                <w:b/>
                <w:sz w:val="18"/>
                <w:szCs w:val="18"/>
              </w:rPr>
            </w:pPr>
            <w:r w:rsidRPr="001021C2">
              <w:rPr>
                <w:b/>
                <w:sz w:val="18"/>
                <w:szCs w:val="18"/>
              </w:rPr>
              <w:t>2</w:t>
            </w:r>
            <w:r w:rsidRPr="001021C2">
              <w:rPr>
                <w:b/>
                <w:sz w:val="18"/>
                <w:szCs w:val="18"/>
              </w:rPr>
              <w:t>0</w:t>
            </w:r>
            <w:r w:rsidRPr="001021C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3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1C2" w:rsidRDefault="001021C2" w:rsidP="00CB24D7">
            <w:pPr>
              <w:pStyle w:val="TableParagraph"/>
              <w:spacing w:before="78"/>
              <w:ind w:right="318"/>
              <w:rPr>
                <w:sz w:val="18"/>
              </w:rPr>
            </w:pPr>
            <w:r>
              <w:rPr>
                <w:sz w:val="18"/>
              </w:rPr>
              <w:t>Identifica el origen de la invasión de los pueblos germanos y la ocupación del pueblo visigodo, haciendo referencia a su procedencia.</w:t>
            </w:r>
          </w:p>
        </w:tc>
        <w:tc>
          <w:tcPr>
            <w:tcW w:w="2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1C2" w:rsidRDefault="001021C2" w:rsidP="00CB24D7">
            <w:pPr>
              <w:pStyle w:val="TableParagraph"/>
              <w:spacing w:before="78"/>
              <w:ind w:right="117"/>
              <w:rPr>
                <w:sz w:val="18"/>
              </w:rPr>
            </w:pPr>
            <w:r>
              <w:rPr>
                <w:sz w:val="18"/>
              </w:rPr>
              <w:t>Identifica el origen de la invasión de los pueblos germanos y la ocupación del pueblo visigodo, pero no conoce su procedencia.</w:t>
            </w:r>
          </w:p>
        </w:tc>
        <w:tc>
          <w:tcPr>
            <w:tcW w:w="27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1C2" w:rsidRDefault="001021C2" w:rsidP="00CB24D7">
            <w:pPr>
              <w:pStyle w:val="TableParagraph"/>
              <w:spacing w:before="78"/>
              <w:ind w:left="117" w:right="227"/>
              <w:jc w:val="center"/>
              <w:rPr>
                <w:sz w:val="18"/>
              </w:rPr>
            </w:pPr>
            <w:r>
              <w:rPr>
                <w:sz w:val="18"/>
              </w:rPr>
              <w:t>Identifica donde se instalaron.</w:t>
            </w:r>
          </w:p>
        </w:tc>
        <w:tc>
          <w:tcPr>
            <w:tcW w:w="2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1C2" w:rsidRDefault="001021C2" w:rsidP="00CB24D7">
            <w:pPr>
              <w:pStyle w:val="TableParagraph"/>
              <w:spacing w:before="78"/>
              <w:ind w:right="357"/>
              <w:rPr>
                <w:sz w:val="18"/>
              </w:rPr>
            </w:pPr>
            <w:r>
              <w:rPr>
                <w:sz w:val="18"/>
              </w:rPr>
              <w:t>No identifica el origen ni la ocupación de los pueblos germanos.</w:t>
            </w:r>
          </w:p>
        </w:tc>
      </w:tr>
      <w:tr w:rsidR="001021C2" w:rsidRPr="00045667" w:rsidTr="001021C2">
        <w:tc>
          <w:tcPr>
            <w:tcW w:w="3226" w:type="dxa"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1C2" w:rsidRPr="001021C2" w:rsidRDefault="001021C2" w:rsidP="00CB24D7">
            <w:pPr>
              <w:pStyle w:val="TableParagraph"/>
              <w:spacing w:before="75"/>
              <w:ind w:left="100" w:right="258"/>
              <w:rPr>
                <w:b/>
                <w:sz w:val="18"/>
                <w:szCs w:val="18"/>
              </w:rPr>
            </w:pPr>
            <w:r w:rsidRPr="001021C2">
              <w:rPr>
                <w:b/>
                <w:sz w:val="18"/>
                <w:szCs w:val="18"/>
              </w:rPr>
              <w:t>Localiza en el tiempo y en el espacio los acontecimientos históricos más relevantes de la invasión de los pueblos germanos.</w:t>
            </w:r>
          </w:p>
          <w:p w:rsidR="001021C2" w:rsidRPr="001021C2" w:rsidRDefault="001021C2" w:rsidP="00CB24D7">
            <w:pPr>
              <w:pStyle w:val="TableParagraph"/>
              <w:spacing w:before="5"/>
              <w:ind w:left="100"/>
              <w:rPr>
                <w:b/>
                <w:sz w:val="18"/>
                <w:szCs w:val="18"/>
              </w:rPr>
            </w:pPr>
            <w:r w:rsidRPr="001021C2">
              <w:rPr>
                <w:b/>
                <w:sz w:val="18"/>
                <w:szCs w:val="18"/>
              </w:rPr>
              <w:t>20</w:t>
            </w:r>
            <w:r w:rsidRPr="001021C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3147" w:type="dxa"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1C2" w:rsidRDefault="001021C2" w:rsidP="00CB24D7">
            <w:pPr>
              <w:pStyle w:val="TableParagraph"/>
              <w:spacing w:before="80"/>
              <w:ind w:right="158"/>
              <w:rPr>
                <w:sz w:val="18"/>
              </w:rPr>
            </w:pPr>
            <w:r>
              <w:rPr>
                <w:sz w:val="18"/>
              </w:rPr>
              <w:t>Localiza en el tiempo y en el espacio los acontecimientos históricos más relevantes de la invasión de los pueblos germanos.</w:t>
            </w:r>
          </w:p>
        </w:tc>
        <w:tc>
          <w:tcPr>
            <w:tcW w:w="2934" w:type="dxa"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1C2" w:rsidRDefault="001021C2" w:rsidP="00CB24D7">
            <w:pPr>
              <w:pStyle w:val="TableParagraph"/>
              <w:spacing w:before="80"/>
              <w:ind w:right="198"/>
              <w:rPr>
                <w:sz w:val="18"/>
              </w:rPr>
            </w:pPr>
            <w:r>
              <w:rPr>
                <w:sz w:val="18"/>
              </w:rPr>
              <w:t>Localiza en el tiempo y en el espacio algunos acontecimientos históricos relevantes de la invasión de los pueblos germanos.</w:t>
            </w:r>
          </w:p>
        </w:tc>
        <w:tc>
          <w:tcPr>
            <w:tcW w:w="2742" w:type="dxa"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1C2" w:rsidRDefault="001021C2" w:rsidP="00CB24D7">
            <w:pPr>
              <w:pStyle w:val="TableParagraph"/>
              <w:spacing w:before="80"/>
              <w:ind w:right="365"/>
              <w:rPr>
                <w:sz w:val="18"/>
              </w:rPr>
            </w:pPr>
            <w:r>
              <w:rPr>
                <w:sz w:val="18"/>
              </w:rPr>
              <w:t>Localiza en el tiempo o en el espacio algunos acontecimientos históricos relevantes de los pueblos germanos.</w:t>
            </w:r>
          </w:p>
        </w:tc>
        <w:tc>
          <w:tcPr>
            <w:tcW w:w="2576" w:type="dxa"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1C2" w:rsidRDefault="001021C2" w:rsidP="00CB24D7">
            <w:pPr>
              <w:pStyle w:val="TableParagraph"/>
              <w:spacing w:before="80"/>
              <w:ind w:right="177"/>
              <w:rPr>
                <w:sz w:val="18"/>
              </w:rPr>
            </w:pPr>
            <w:r>
              <w:rPr>
                <w:sz w:val="18"/>
              </w:rPr>
              <w:t>No localiza ni en el tiempo ni el espacio los acontecimientos históricos relevantes de los pueblos germanos.</w:t>
            </w:r>
          </w:p>
        </w:tc>
      </w:tr>
      <w:tr w:rsidR="0059706D" w:rsidRPr="00045667" w:rsidTr="001021C2">
        <w:tc>
          <w:tcPr>
            <w:tcW w:w="3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06D" w:rsidRPr="001021C2" w:rsidRDefault="0059706D" w:rsidP="000456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18"/>
                <w:szCs w:val="18"/>
                <w:lang w:eastAsia="zh-CN"/>
              </w:rPr>
            </w:pPr>
            <w:r w:rsidRPr="001021C2">
              <w:rPr>
                <w:rFonts w:ascii="Arial" w:eastAsia="Times New Roman" w:hAnsi="Arial" w:cs="Arial"/>
                <w:b/>
                <w:bCs/>
                <w:kern w:val="3"/>
                <w:sz w:val="18"/>
                <w:szCs w:val="18"/>
                <w:lang w:eastAsia="zh-CN"/>
              </w:rPr>
              <w:t>Aprender a aprender.</w:t>
            </w:r>
          </w:p>
          <w:p w:rsidR="001021C2" w:rsidRPr="001021C2" w:rsidRDefault="001021C2" w:rsidP="000456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18"/>
                <w:szCs w:val="18"/>
                <w:lang w:eastAsia="zh-CN"/>
              </w:rPr>
            </w:pPr>
            <w:r w:rsidRPr="001021C2">
              <w:rPr>
                <w:rFonts w:ascii="Arial" w:eastAsia="Times New Roman" w:hAnsi="Arial" w:cs="Arial"/>
                <w:b/>
                <w:bCs/>
                <w:kern w:val="3"/>
                <w:sz w:val="18"/>
                <w:szCs w:val="18"/>
                <w:lang w:eastAsia="zh-CN"/>
              </w:rPr>
              <w:t>10%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06D" w:rsidRDefault="0059706D" w:rsidP="000456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Ubuntu" w:eastAsia="Noto Sans CJK SC Regular" w:hAnsi="Ubuntu" w:cs="Lohit Devanagari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Ubuntu" w:eastAsia="Noto Sans CJK SC Regular" w:hAnsi="Ubuntu" w:cs="Lohit Devanagari"/>
                <w:kern w:val="3"/>
                <w:sz w:val="18"/>
                <w:szCs w:val="18"/>
                <w:lang w:eastAsia="zh-CN" w:bidi="hi-IN"/>
              </w:rPr>
              <w:t>El alumno es capaz de fomentar su propio aprendizaje, atendiendo a las explicaciones, realizando las actividades propuestas y realizando la</w:t>
            </w:r>
            <w:r w:rsidR="00B019A0">
              <w:rPr>
                <w:rFonts w:ascii="Ubuntu" w:eastAsia="Noto Sans CJK SC Regular" w:hAnsi="Ubuntu" w:cs="Lohit Devanagari"/>
                <w:kern w:val="3"/>
                <w:sz w:val="18"/>
                <w:szCs w:val="18"/>
                <w:lang w:eastAsia="zh-CN" w:bidi="hi-IN"/>
              </w:rPr>
              <w:t xml:space="preserve"> práctica propuesta.</w:t>
            </w:r>
          </w:p>
        </w:tc>
        <w:tc>
          <w:tcPr>
            <w:tcW w:w="293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06D" w:rsidRDefault="00B019A0" w:rsidP="000456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Ubuntu" w:eastAsia="Noto Sans CJK SC Regular" w:hAnsi="Ubuntu" w:cs="Lohit Devanagari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Ubuntu" w:eastAsia="Noto Sans CJK SC Regular" w:hAnsi="Ubuntu" w:cs="Lohit Devanagari"/>
                <w:kern w:val="3"/>
                <w:sz w:val="18"/>
                <w:szCs w:val="18"/>
                <w:lang w:eastAsia="zh-CN" w:bidi="hi-IN"/>
              </w:rPr>
              <w:t>El alumno atiende a las explicaciones y realiza las actividades, pero no la práctica.</w:t>
            </w:r>
          </w:p>
        </w:tc>
        <w:tc>
          <w:tcPr>
            <w:tcW w:w="274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06D" w:rsidRDefault="00B019A0" w:rsidP="000456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Ubuntu" w:eastAsia="Noto Sans CJK SC Regular" w:hAnsi="Ubuntu" w:cs="Lohit Devanagari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Ubuntu" w:eastAsia="Noto Sans CJK SC Regular" w:hAnsi="Ubuntu" w:cs="Lohit Devanagari"/>
                <w:kern w:val="3"/>
                <w:sz w:val="18"/>
                <w:szCs w:val="18"/>
                <w:lang w:eastAsia="zh-CN" w:bidi="hi-IN"/>
              </w:rPr>
              <w:t>El alumno atiende a las explicaciones pero no realiza las actividades.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06D" w:rsidRDefault="00B019A0" w:rsidP="00624BB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Ubuntu" w:eastAsia="Noto Sans CJK SC Regular" w:hAnsi="Ubuntu" w:cs="Lohit Devanagari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Ubuntu" w:eastAsia="Noto Sans CJK SC Regular" w:hAnsi="Ubuntu" w:cs="Lohit Devanagari"/>
                <w:kern w:val="3"/>
                <w:sz w:val="18"/>
                <w:szCs w:val="18"/>
                <w:lang w:eastAsia="zh-CN" w:bidi="hi-IN"/>
              </w:rPr>
              <w:t>El alumno no muestra interés.</w:t>
            </w:r>
          </w:p>
        </w:tc>
      </w:tr>
      <w:tr w:rsidR="00B019A0" w:rsidRPr="00045667" w:rsidTr="001021C2">
        <w:tc>
          <w:tcPr>
            <w:tcW w:w="3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19A0" w:rsidRPr="001021C2" w:rsidRDefault="00B019A0" w:rsidP="000456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18"/>
                <w:szCs w:val="18"/>
                <w:lang w:eastAsia="zh-CN"/>
              </w:rPr>
            </w:pPr>
            <w:r w:rsidRPr="001021C2">
              <w:rPr>
                <w:rFonts w:ascii="Arial" w:eastAsia="Times New Roman" w:hAnsi="Arial" w:cs="Arial"/>
                <w:b/>
                <w:bCs/>
                <w:kern w:val="3"/>
                <w:sz w:val="18"/>
                <w:szCs w:val="18"/>
                <w:lang w:eastAsia="zh-CN"/>
              </w:rPr>
              <w:t>Competencia digital.</w:t>
            </w:r>
          </w:p>
          <w:p w:rsidR="001021C2" w:rsidRPr="001021C2" w:rsidRDefault="001021C2" w:rsidP="000456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18"/>
                <w:szCs w:val="18"/>
                <w:lang w:eastAsia="zh-CN"/>
              </w:rPr>
            </w:pPr>
            <w:r w:rsidRPr="001021C2">
              <w:rPr>
                <w:rFonts w:ascii="Arial" w:eastAsia="Times New Roman" w:hAnsi="Arial" w:cs="Arial"/>
                <w:b/>
                <w:bCs/>
                <w:kern w:val="3"/>
                <w:sz w:val="18"/>
                <w:szCs w:val="18"/>
                <w:lang w:eastAsia="zh-CN"/>
              </w:rPr>
              <w:t>10%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9A0" w:rsidRDefault="00B019A0" w:rsidP="000456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Ubuntu" w:eastAsia="Noto Sans CJK SC Regular" w:hAnsi="Ubuntu" w:cs="Lohit Devanagari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Ubuntu" w:eastAsia="Noto Sans CJK SC Regular" w:hAnsi="Ubuntu" w:cs="Lohit Devanagari"/>
                <w:kern w:val="3"/>
                <w:sz w:val="18"/>
                <w:szCs w:val="18"/>
                <w:lang w:eastAsia="zh-CN" w:bidi="hi-IN"/>
              </w:rPr>
              <w:t>Realiza búsqueda de información en las fuentes facilitadas y se desenvuelve con destreza en la herramientas en que se presenta el contenido.</w:t>
            </w:r>
          </w:p>
        </w:tc>
        <w:tc>
          <w:tcPr>
            <w:tcW w:w="293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9A0" w:rsidRDefault="00B019A0" w:rsidP="000456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Ubuntu" w:eastAsia="Noto Sans CJK SC Regular" w:hAnsi="Ubuntu" w:cs="Lohit Devanagari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Ubuntu" w:eastAsia="Noto Sans CJK SC Regular" w:hAnsi="Ubuntu" w:cs="Lohit Devanagari"/>
                <w:kern w:val="3"/>
                <w:sz w:val="18"/>
                <w:szCs w:val="18"/>
                <w:lang w:eastAsia="zh-CN" w:bidi="hi-IN"/>
              </w:rPr>
              <w:t>Realiza búsqueda de información en al menos una fuente y se desenvuelve con destreza en la herramienta con la que se trabaja.</w:t>
            </w:r>
          </w:p>
        </w:tc>
        <w:tc>
          <w:tcPr>
            <w:tcW w:w="274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9A0" w:rsidRDefault="00B019A0" w:rsidP="000456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Ubuntu" w:eastAsia="Noto Sans CJK SC Regular" w:hAnsi="Ubuntu" w:cs="Lohit Devanagari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Ubuntu" w:eastAsia="Noto Sans CJK SC Regular" w:hAnsi="Ubuntu" w:cs="Lohit Devanagari"/>
                <w:kern w:val="3"/>
                <w:sz w:val="18"/>
                <w:szCs w:val="18"/>
                <w:lang w:eastAsia="zh-CN" w:bidi="hi-IN"/>
              </w:rPr>
              <w:t>Realiza búsqueda de información en una fuente.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9A0" w:rsidRDefault="00B019A0" w:rsidP="00624BB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Ubuntu" w:eastAsia="Noto Sans CJK SC Regular" w:hAnsi="Ubuntu" w:cs="Lohit Devanagari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Ubuntu" w:eastAsia="Noto Sans CJK SC Regular" w:hAnsi="Ubuntu" w:cs="Lohit Devanagari"/>
                <w:kern w:val="3"/>
                <w:sz w:val="18"/>
                <w:szCs w:val="18"/>
                <w:lang w:eastAsia="zh-CN" w:bidi="hi-IN"/>
              </w:rPr>
              <w:t>Carece de interés por buscar información y por tener destreza en las herramientas presentadas.</w:t>
            </w:r>
          </w:p>
        </w:tc>
      </w:tr>
    </w:tbl>
    <w:p w:rsidR="00045667" w:rsidRPr="00045667" w:rsidRDefault="00045667" w:rsidP="00045667">
      <w:p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045667" w:rsidRPr="00045667" w:rsidRDefault="00045667" w:rsidP="00045667">
      <w:pPr>
        <w:suppressAutoHyphens/>
        <w:autoSpaceDN w:val="0"/>
        <w:spacing w:after="0" w:line="240" w:lineRule="auto"/>
        <w:textAlignment w:val="baseline"/>
        <w:rPr>
          <w:rFonts w:ascii="Ubuntu" w:eastAsia="Times New Roman" w:hAnsi="Ubuntu" w:cs="Arial"/>
          <w:kern w:val="3"/>
          <w:sz w:val="24"/>
          <w:szCs w:val="24"/>
          <w:lang w:eastAsia="zh-CN"/>
        </w:rPr>
      </w:pPr>
    </w:p>
    <w:p w:rsidR="005F1F7E" w:rsidRDefault="009600B4" w:rsidP="00A568EA"/>
    <w:sectPr w:rsidR="005F1F7E" w:rsidSect="00A568EA">
      <w:headerReference w:type="default" r:id="rId9"/>
      <w:footerReference w:type="default" r:id="rId10"/>
      <w:pgSz w:w="16838" w:h="11906" w:orient="landscape"/>
      <w:pgMar w:top="1701" w:right="678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0B4" w:rsidRDefault="009600B4" w:rsidP="00A568EA">
      <w:pPr>
        <w:spacing w:after="0" w:line="240" w:lineRule="auto"/>
      </w:pPr>
      <w:r>
        <w:separator/>
      </w:r>
    </w:p>
  </w:endnote>
  <w:endnote w:type="continuationSeparator" w:id="1">
    <w:p w:rsidR="009600B4" w:rsidRDefault="009600B4" w:rsidP="00A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Calibri"/>
    <w:charset w:val="00"/>
    <w:family w:val="auto"/>
    <w:pitch w:val="variable"/>
    <w:sig w:usb0="00000000" w:usb1="00000000" w:usb2="00000000" w:usb3="00000000" w:csb0="00000000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Noto Sans CJK SC Regular">
    <w:altName w:val="Arial"/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Calibri"/>
    <w:charset w:val="00"/>
    <w:family w:val="auto"/>
    <w:pitch w:val="variable"/>
    <w:sig w:usb0="00000000" w:usb1="00000000" w:usb2="00000000" w:usb3="00000000" w:csb0="00000000" w:csb1="00000000"/>
  </w:font>
  <w:font w:name="Helvetica LT Std Light">
    <w:altName w:val="Arial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4514850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:rsidR="0021375D" w:rsidRP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  <w:r w:rsidRPr="0021375D">
      <w:rPr>
        <w:rFonts w:ascii="Helvetica LT Std Light" w:hAnsi="Helvetica LT Std Light"/>
        <w:sz w:val="16"/>
      </w:rPr>
      <w:t xml:space="preserve">(Título rúbrica) de Área de Recursos Educativos Digitales (INTEF) se encuentra bajo una Licencia Creative Commons Atribución-CompartirIgual 4.0 España. </w:t>
    </w:r>
  </w:p>
  <w:p w:rsidR="0021375D" w:rsidRDefault="0021375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0B4" w:rsidRDefault="009600B4" w:rsidP="00A568EA">
      <w:pPr>
        <w:spacing w:after="0" w:line="240" w:lineRule="auto"/>
      </w:pPr>
      <w:r>
        <w:separator/>
      </w:r>
    </w:p>
  </w:footnote>
  <w:footnote w:type="continuationSeparator" w:id="1">
    <w:p w:rsidR="009600B4" w:rsidRDefault="009600B4" w:rsidP="00A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75D" w:rsidRDefault="0021375D" w:rsidP="0021375D">
    <w:pPr>
      <w:pStyle w:val="Encabezado"/>
      <w:jc w:val="right"/>
      <w:rPr>
        <w:rFonts w:ascii="Helvetica LT Std Light" w:hAnsi="Helvetica LT Std Light"/>
      </w:rPr>
    </w:pPr>
    <w:r w:rsidRPr="008B5942">
      <w:rPr>
        <w:rFonts w:ascii="Helvetica LT Std Light" w:hAnsi="Helvetica LT Std Light"/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6877685</wp:posOffset>
          </wp:positionH>
          <wp:positionV relativeFrom="paragraph">
            <wp:posOffset>-229870</wp:posOffset>
          </wp:positionV>
          <wp:extent cx="2926080" cy="638175"/>
          <wp:effectExtent l="0" t="0" r="7620" b="952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otipo_intef_nombre_comple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1375D" w:rsidRDefault="0021375D" w:rsidP="0021375D">
    <w:pPr>
      <w:pStyle w:val="Encabezado"/>
      <w:jc w:val="right"/>
      <w:rPr>
        <w:rFonts w:ascii="Helvetica LT Std Light" w:hAnsi="Helvetica LT Std Ligh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A568EA"/>
    <w:rsid w:val="00045667"/>
    <w:rsid w:val="001021C2"/>
    <w:rsid w:val="0021375D"/>
    <w:rsid w:val="00226E6B"/>
    <w:rsid w:val="0059706D"/>
    <w:rsid w:val="00624BB8"/>
    <w:rsid w:val="00851847"/>
    <w:rsid w:val="008A25D7"/>
    <w:rsid w:val="008B5942"/>
    <w:rsid w:val="009600B4"/>
    <w:rsid w:val="00A568EA"/>
    <w:rsid w:val="00AD1C41"/>
    <w:rsid w:val="00B019A0"/>
    <w:rsid w:val="00BD6C04"/>
    <w:rsid w:val="00D57BEE"/>
    <w:rsid w:val="00DD29FF"/>
    <w:rsid w:val="00E10B16"/>
    <w:rsid w:val="00EA4CF8"/>
    <w:rsid w:val="00F437EF"/>
    <w:rsid w:val="00F46FD3"/>
    <w:rsid w:val="1386F8A6"/>
    <w:rsid w:val="30E4E69C"/>
    <w:rsid w:val="3E96DB4B"/>
    <w:rsid w:val="538C0ADC"/>
    <w:rsid w:val="6BCFB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B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paragraph" w:styleId="Textodeglobo">
    <w:name w:val="Balloon Text"/>
    <w:basedOn w:val="Normal"/>
    <w:link w:val="TextodegloboCar"/>
    <w:uiPriority w:val="99"/>
    <w:semiHidden/>
    <w:unhideWhenUsed/>
    <w:rsid w:val="0004566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667"/>
    <w:rPr>
      <w:rFonts w:ascii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1021C2"/>
    <w:pPr>
      <w:widowControl w:val="0"/>
      <w:autoSpaceDE w:val="0"/>
      <w:autoSpaceDN w:val="0"/>
      <w:spacing w:after="0" w:line="240" w:lineRule="auto"/>
      <w:ind w:left="11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0EC29D5008994BAB1F1017CF373F6E" ma:contentTypeVersion="2" ma:contentTypeDescription="Crear nuevo documento." ma:contentTypeScope="" ma:versionID="2a282d437fbd76b36a207e3e3db98d53">
  <xsd:schema xmlns:xsd="http://www.w3.org/2001/XMLSchema" xmlns:xs="http://www.w3.org/2001/XMLSchema" xmlns:p="http://schemas.microsoft.com/office/2006/metadata/properties" xmlns:ns2="4c09d239-b865-4bab-8759-0471d5c42a44" targetNamespace="http://schemas.microsoft.com/office/2006/metadata/properties" ma:root="true" ma:fieldsID="e9608f791a1973d5842b4eaf9a4526a0" ns2:_="">
    <xsd:import namespace="4c09d239-b865-4bab-8759-0471d5c42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9d239-b865-4bab-8759-0471d5c42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1F03B9-E9BA-4AFA-8831-581B31DBE3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FCC3E6-0587-48C1-A6B9-C12540CA03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B409E4-FA36-488F-BCAB-76C549B18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9d239-b865-4bab-8759-0471d5c42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innovacion</dc:creator>
  <cp:lastModifiedBy>Carmen Sáez Requejo</cp:lastModifiedBy>
  <cp:revision>2</cp:revision>
  <cp:lastPrinted>2020-10-01T15:59:00Z</cp:lastPrinted>
  <dcterms:created xsi:type="dcterms:W3CDTF">2020-10-17T12:18:00Z</dcterms:created>
  <dcterms:modified xsi:type="dcterms:W3CDTF">2020-10-17T12:18:00Z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0x010100570EC29D5008994BAB1F1017CF373F6E</vt:lpwstr>
  </property>
</Properties>
</file>