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B716D" w14:paraId="7B72A31C" w14:textId="77777777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79596" w14:textId="7B8E15E1" w:rsidR="000B716D" w:rsidRDefault="008C6A79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RÚBRICA </w:t>
            </w:r>
            <w:r w:rsidR="00D77933">
              <w:rPr>
                <w:rFonts w:ascii="Calibri" w:hAnsi="Calibri" w:cs="Calibri"/>
                <w:b/>
                <w:bCs/>
                <w:color w:val="000000"/>
              </w:rPr>
              <w:t>DE</w:t>
            </w:r>
            <w:r w:rsidR="004E5E67">
              <w:rPr>
                <w:rFonts w:ascii="Calibri" w:hAnsi="Calibri" w:cs="Calibri"/>
                <w:b/>
                <w:bCs/>
                <w:color w:val="000000"/>
              </w:rPr>
              <w:t xml:space="preserve"> LA </w:t>
            </w:r>
            <w:r w:rsidR="004B6828">
              <w:rPr>
                <w:rFonts w:ascii="Calibri" w:hAnsi="Calibri" w:cs="Calibri"/>
                <w:b/>
                <w:bCs/>
                <w:color w:val="000000"/>
              </w:rPr>
              <w:t>ESPAÑA DEL SIGLO XXI</w:t>
            </w:r>
          </w:p>
        </w:tc>
      </w:tr>
    </w:tbl>
    <w:p w14:paraId="77E860AE" w14:textId="77777777" w:rsidR="000B716D" w:rsidRDefault="008C6A79">
      <w:pPr>
        <w:pStyle w:val="Textbody"/>
      </w:pPr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Nombre del alumno o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alumnos:</w:t>
      </w:r>
      <w:r>
        <w:rPr>
          <w:rFonts w:ascii="Calibri" w:hAnsi="Calibri" w:cs="Calibri"/>
          <w:color w:val="000000"/>
          <w:sz w:val="18"/>
          <w:szCs w:val="18"/>
        </w:rPr>
        <w:t>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</w:t>
      </w:r>
    </w:p>
    <w:tbl>
      <w:tblPr>
        <w:tblW w:w="147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9"/>
        <w:gridCol w:w="3079"/>
        <w:gridCol w:w="3046"/>
        <w:gridCol w:w="2885"/>
        <w:gridCol w:w="2626"/>
      </w:tblGrid>
      <w:tr w:rsidR="000B716D" w14:paraId="7FA35AFA" w14:textId="77777777" w:rsidTr="00D8543B">
        <w:trPr>
          <w:trHeight w:val="301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1E8A0" w14:textId="77777777" w:rsidR="000B716D" w:rsidRDefault="008C6A79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60DE1" w14:textId="77777777" w:rsidR="000B716D" w:rsidRDefault="008C6A79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F3CB8" w14:textId="77777777" w:rsidR="000B716D" w:rsidRDefault="008C6A79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9195D" w14:textId="77777777" w:rsidR="000B716D" w:rsidRDefault="008C6A79">
            <w:pPr>
              <w:pStyle w:val="Standard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ED94E" w14:textId="77777777" w:rsidR="000B716D" w:rsidRDefault="008C6A79">
            <w:pPr>
              <w:pStyle w:val="Standard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E8226B" w14:paraId="2BC15D83" w14:textId="77777777" w:rsidTr="004B6828">
        <w:trPr>
          <w:trHeight w:val="1131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61A43" w14:textId="078D08EE" w:rsidR="00E8226B" w:rsidRDefault="00E8226B" w:rsidP="00E8226B">
            <w:pPr>
              <w:pStyle w:val="Standard"/>
              <w:jc w:val="center"/>
            </w:pPr>
            <w:r w:rsidRPr="00545B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COMPRENSIÓN </w:t>
            </w:r>
            <w:r w:rsidR="00B90E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 </w:t>
            </w:r>
            <w:r w:rsidR="0058795D"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 w:rsidR="007A7969">
              <w:rPr>
                <w:rFonts w:ascii="Calibri" w:hAnsi="Calibri" w:cs="Calibri"/>
                <w:b/>
                <w:bCs/>
                <w:sz w:val="20"/>
                <w:szCs w:val="20"/>
              </w:rPr>
              <w:t>OS ACONTECIMIENTOS MÁS IMPORTANTES DEL PERIODO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</w:t>
            </w:r>
            <w:r w:rsidR="00343413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A567A" w14:textId="23CFC77C" w:rsidR="00E8226B" w:rsidRPr="003A3592" w:rsidRDefault="00E8226B" w:rsidP="00E8226B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3A359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Comprende perfectamente los </w:t>
            </w:r>
            <w:r w:rsidR="0058795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cambios producidos </w:t>
            </w:r>
            <w:r w:rsidR="00D8543B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en España </w:t>
            </w:r>
            <w:r w:rsidR="007A796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en el periodo y la importancia </w:t>
            </w:r>
            <w:r w:rsidR="004B6828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del fin del bipartidismo.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473DD" w14:textId="2041E8C0" w:rsidR="00E8226B" w:rsidRPr="003A3592" w:rsidRDefault="00D8543B" w:rsidP="00E8226B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3A359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Comprende los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cambios producidos en España </w:t>
            </w:r>
            <w:r w:rsidR="007A796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en el periodo y la importancia </w:t>
            </w:r>
            <w:r w:rsidR="004B6828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del fin del bipartidismo.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DD4B4" w14:textId="38009EC4" w:rsidR="00E8226B" w:rsidRPr="003A3592" w:rsidRDefault="00D8543B" w:rsidP="00E8226B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3A359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Comprende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parcialmente</w:t>
            </w:r>
            <w:r w:rsidRPr="003A359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los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cambios producidos en España </w:t>
            </w:r>
            <w:r w:rsidR="007A796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en el periodo y la importancia </w:t>
            </w:r>
            <w:r w:rsidR="004B6828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del fin del bipartidismo.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5DB0D" w14:textId="1A4262C9" w:rsidR="00E8226B" w:rsidRPr="003A3592" w:rsidRDefault="00D8543B" w:rsidP="00E8226B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No c</w:t>
            </w:r>
            <w:r w:rsidRPr="003A359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omprende los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cambios producidos en España </w:t>
            </w:r>
            <w:r w:rsidR="007A796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en el periodo </w:t>
            </w:r>
            <w:r w:rsidR="004B6828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ni</w:t>
            </w:r>
            <w:r w:rsidR="007A796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la importancia </w:t>
            </w:r>
            <w:r w:rsidR="004B6828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del fin del bipartidismo.</w:t>
            </w:r>
          </w:p>
        </w:tc>
      </w:tr>
      <w:tr w:rsidR="003D6FE5" w14:paraId="79740AFC" w14:textId="77777777" w:rsidTr="00D8543B">
        <w:trPr>
          <w:trHeight w:val="1292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D2406" w14:textId="40E778AB" w:rsidR="003D6FE5" w:rsidRDefault="005D3804" w:rsidP="003D6FE5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CONOCIMIENTO DE LOS PRINCIPALES CONCEPTOS Y PROTAGONISTAS DE LA TRANSICIÓN</w:t>
            </w:r>
          </w:p>
          <w:p w14:paraId="704EC71D" w14:textId="637BDF1B" w:rsidR="003D6FE5" w:rsidRPr="00545BCE" w:rsidRDefault="003D6FE5" w:rsidP="003D6FE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9A251" w14:textId="026D646A" w:rsidR="003D6FE5" w:rsidRPr="003A3592" w:rsidRDefault="005D3804" w:rsidP="003D6FE5">
            <w:pPr>
              <w:pStyle w:val="Standard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Conoce</w:t>
            </w:r>
            <w:r w:rsidR="003D6FE5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perfectamente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a</w:t>
            </w:r>
            <w:r w:rsidR="003D6FE5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los principales protagonistas de la Transición, así como los conceptos más destacados del mismo periodo.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4BDCA" w14:textId="497D172F" w:rsidR="003D6FE5" w:rsidRPr="003A3592" w:rsidRDefault="005D3804" w:rsidP="003D6FE5">
            <w:pPr>
              <w:pStyle w:val="Standard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Conoce a los principales protagonistas de la Transición, así como los conceptos más destacados del mismo periodo.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1C958" w14:textId="4796C633" w:rsidR="003D6FE5" w:rsidRPr="003A3592" w:rsidRDefault="005D3804" w:rsidP="003D6FE5">
            <w:pPr>
              <w:pStyle w:val="Standard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Conoce p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arcialmente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a los principales protagonistas de la Transición, así como los conceptos más destacados del mismo periodo.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62270" w14:textId="6EFCABFB" w:rsidR="003D6FE5" w:rsidRDefault="005D3804" w:rsidP="003D6FE5">
            <w:pPr>
              <w:pStyle w:val="Standard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No c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onoc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a los principales protagonistas de la Transición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ni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los conceptos más destacados del mismo periodo.</w:t>
            </w:r>
          </w:p>
        </w:tc>
      </w:tr>
      <w:tr w:rsidR="007A7969" w14:paraId="13A5B039" w14:textId="77777777" w:rsidTr="00D8543B">
        <w:trPr>
          <w:trHeight w:val="1032"/>
        </w:trPr>
        <w:tc>
          <w:tcPr>
            <w:tcW w:w="3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58218" w14:textId="023178A2" w:rsidR="007A7969" w:rsidRPr="00E42DF2" w:rsidRDefault="007A7969" w:rsidP="007A796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COMPRENSIÓN LECTORA </w:t>
            </w:r>
            <w:r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3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CAAAF" w14:textId="3D103B4D" w:rsidR="007A7969" w:rsidRPr="003A3592" w:rsidRDefault="007A7969" w:rsidP="007A7969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3A359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Comprende perfectamente los textos leídos y es capaz de establecer relaciones entre ellos, discriminando sin problemas entre fuentes primarias y fuentes secundarias. </w:t>
            </w:r>
          </w:p>
        </w:tc>
        <w:tc>
          <w:tcPr>
            <w:tcW w:w="3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CDEDC" w14:textId="0194A36E" w:rsidR="007A7969" w:rsidRPr="003A3592" w:rsidRDefault="007A7969" w:rsidP="007A7969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3A359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Comprende casi todos los textos leídos y es capaz de establecer algunas relaciones entre ellos, discriminando entre fuentes primarias y fuentes secundarias.</w:t>
            </w:r>
          </w:p>
        </w:tc>
        <w:tc>
          <w:tcPr>
            <w:tcW w:w="2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E44E3" w14:textId="63128D75" w:rsidR="007A7969" w:rsidRPr="003A3592" w:rsidRDefault="007A7969" w:rsidP="007A7969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3A359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Sólo comprende algunos de los textos leídos y sólo es capaz de establecer algunas relaciones entre ellos, discriminando parcialmente entre fuentes primarias y fuentes secundarias.</w:t>
            </w:r>
          </w:p>
        </w:tc>
        <w:tc>
          <w:tcPr>
            <w:tcW w:w="2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57D53" w14:textId="2BC5B22E" w:rsidR="007A7969" w:rsidRPr="003A3592" w:rsidRDefault="007A7969" w:rsidP="007A7969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3A359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No comprende los textos leídos y no es capaz de establecer relaciones entre ellos, ni discrimina entre fuentes primarias y fuentes secundarias.</w:t>
            </w:r>
          </w:p>
        </w:tc>
      </w:tr>
      <w:tr w:rsidR="003D6FE5" w14:paraId="784671D7" w14:textId="77777777" w:rsidTr="00D8543B">
        <w:trPr>
          <w:trHeight w:val="842"/>
        </w:trPr>
        <w:tc>
          <w:tcPr>
            <w:tcW w:w="3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C6E21" w14:textId="2C1E27A5" w:rsidR="003D6FE5" w:rsidRPr="00343413" w:rsidRDefault="003D6FE5" w:rsidP="003D6FE5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RELACI</w:t>
            </w:r>
            <w:r w:rsidR="00BF720A">
              <w:rPr>
                <w:rFonts w:ascii="Calibri" w:hAnsi="Calibri" w:cs="Calibri"/>
                <w:b/>
                <w:sz w:val="20"/>
                <w:szCs w:val="20"/>
              </w:rPr>
              <w:t>ÓN DE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LO ESTUDIADO CON LA REALIDAD </w:t>
            </w:r>
            <w:r w:rsidRPr="00343413">
              <w:rPr>
                <w:rFonts w:ascii="Calibri" w:hAnsi="Calibri" w:cs="Calibri"/>
                <w:bCs/>
                <w:sz w:val="20"/>
                <w:szCs w:val="20"/>
              </w:rPr>
              <w:t>20%</w:t>
            </w:r>
          </w:p>
        </w:tc>
        <w:tc>
          <w:tcPr>
            <w:tcW w:w="3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9A80E" w14:textId="6065F9FE" w:rsidR="003D6FE5" w:rsidRPr="003A3592" w:rsidRDefault="003D6FE5" w:rsidP="003D6FE5">
            <w:pPr>
              <w:pStyle w:val="Standard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Relaciona perfectamente los conceptos y acontecimientos estudiados con lo vivido por su propia familia (u otra) durante el mismo periodo. </w:t>
            </w:r>
          </w:p>
        </w:tc>
        <w:tc>
          <w:tcPr>
            <w:tcW w:w="3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0E02E" w14:textId="417A7ECF" w:rsidR="003D6FE5" w:rsidRPr="003A3592" w:rsidRDefault="003D6FE5" w:rsidP="003D6FE5">
            <w:pPr>
              <w:pStyle w:val="Standard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Relaciona los conceptos y acontecimientos estudiados con lo vivido por su propia familia (u otra) durante el mismo periodo.</w:t>
            </w:r>
          </w:p>
        </w:tc>
        <w:tc>
          <w:tcPr>
            <w:tcW w:w="2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4F5F1" w14:textId="48E35E8B" w:rsidR="003D6FE5" w:rsidRPr="003A3592" w:rsidRDefault="003D6FE5" w:rsidP="003D6FE5">
            <w:pPr>
              <w:pStyle w:val="Standard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Relaciona parcialmente los conceptos y acontecimientos estudiados con lo vivido por su propia familia (u otra) durante el mismo periodo.</w:t>
            </w:r>
          </w:p>
        </w:tc>
        <w:tc>
          <w:tcPr>
            <w:tcW w:w="2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BDEFD" w14:textId="500F83D4" w:rsidR="003D6FE5" w:rsidRPr="003A3592" w:rsidRDefault="003D6FE5" w:rsidP="003D6FE5">
            <w:pPr>
              <w:pStyle w:val="Standard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No es capaz de relacionar los conceptos y acontecimientos estudiados con lo vivido por su propia familia (u otra) durante el mismo periodo.</w:t>
            </w:r>
          </w:p>
        </w:tc>
      </w:tr>
      <w:tr w:rsidR="003D6FE5" w:rsidRPr="00343413" w14:paraId="6015847F" w14:textId="77777777" w:rsidTr="00D8543B">
        <w:trPr>
          <w:trHeight w:val="309"/>
        </w:trPr>
        <w:tc>
          <w:tcPr>
            <w:tcW w:w="3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76FA6" w14:textId="77777777" w:rsidR="003D6FE5" w:rsidRDefault="003D6FE5" w:rsidP="003D6FE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EVOLUCIÓN CRONOLÓGICA</w:t>
            </w:r>
          </w:p>
          <w:p w14:paraId="76F2FD42" w14:textId="767127EF" w:rsidR="003D6FE5" w:rsidRDefault="003D6FE5" w:rsidP="003D6FE5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20%</w:t>
            </w:r>
          </w:p>
        </w:tc>
        <w:tc>
          <w:tcPr>
            <w:tcW w:w="3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AB187" w14:textId="22FFE60E" w:rsidR="003D6FE5" w:rsidRPr="003A3592" w:rsidRDefault="003D6FE5" w:rsidP="003D6FE5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3A359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Ordena y discrimina con precisión los acontecimientos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sucedidos en </w:t>
            </w:r>
            <w:r w:rsidR="00BB3DBD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el periodo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y su influencia en la evolución </w:t>
            </w:r>
            <w:r w:rsidR="00A405B6">
              <w:rPr>
                <w:rFonts w:ascii="Calibri" w:hAnsi="Calibri" w:cs="Calibri"/>
                <w:color w:val="333333"/>
                <w:sz w:val="18"/>
                <w:szCs w:val="18"/>
              </w:rPr>
              <w:t>de la sociedad.</w:t>
            </w:r>
          </w:p>
        </w:tc>
        <w:tc>
          <w:tcPr>
            <w:tcW w:w="3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97F41" w14:textId="24B601E6" w:rsidR="003D6FE5" w:rsidRPr="003A3592" w:rsidRDefault="00A405B6" w:rsidP="003D6FE5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3A359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Ordena y discrimina los acontecimientos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sucedidos en </w:t>
            </w:r>
            <w:r w:rsidR="00BB3DBD">
              <w:rPr>
                <w:rFonts w:ascii="Calibri" w:hAnsi="Calibri" w:cs="Calibri"/>
                <w:color w:val="333333"/>
                <w:sz w:val="18"/>
                <w:szCs w:val="18"/>
              </w:rPr>
              <w:t>el periodo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y su influencia en la evolución de la sociedad.</w:t>
            </w:r>
          </w:p>
        </w:tc>
        <w:tc>
          <w:tcPr>
            <w:tcW w:w="2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3BA13" w14:textId="1B71835B" w:rsidR="003D6FE5" w:rsidRPr="003A3592" w:rsidRDefault="00A405B6" w:rsidP="003D6FE5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3A359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Ordena y discrimina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parcialmente</w:t>
            </w:r>
            <w:r w:rsidRPr="003A359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los acontecimientos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sucedidos en </w:t>
            </w:r>
            <w:r w:rsidR="00BB3DBD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el periodo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y su influencia en la evolución de la sociedad.</w:t>
            </w:r>
          </w:p>
        </w:tc>
        <w:tc>
          <w:tcPr>
            <w:tcW w:w="2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66676" w14:textId="4EB5F2BB" w:rsidR="003D6FE5" w:rsidRPr="003A3592" w:rsidRDefault="00A405B6" w:rsidP="003D6FE5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Ni o</w:t>
            </w:r>
            <w:r w:rsidRPr="003A359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rdena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ni</w:t>
            </w:r>
            <w:r w:rsidRPr="003A3592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discrimina los acontecimientos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sucedidos en </w:t>
            </w:r>
            <w:r w:rsidR="00BB3DBD">
              <w:rPr>
                <w:rFonts w:ascii="Calibri" w:hAnsi="Calibri" w:cs="Calibri"/>
                <w:color w:val="333333"/>
                <w:sz w:val="18"/>
                <w:szCs w:val="18"/>
              </w:rPr>
              <w:t>el periodo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ni su influencia en la evolución de la sociedad.</w:t>
            </w:r>
          </w:p>
        </w:tc>
      </w:tr>
    </w:tbl>
    <w:p w14:paraId="3488EEDA" w14:textId="5FA4EF24" w:rsidR="000B716D" w:rsidRPr="00343413" w:rsidRDefault="000B716D" w:rsidP="00343413">
      <w:pPr>
        <w:pStyle w:val="Standard"/>
        <w:rPr>
          <w:rFonts w:ascii="Ubuntu" w:hAnsi="Ubuntu" w:cs="Arial"/>
          <w:sz w:val="2"/>
          <w:szCs w:val="2"/>
        </w:rPr>
      </w:pPr>
    </w:p>
    <w:sectPr w:rsidR="000B716D" w:rsidRPr="00343413" w:rsidSect="00343413">
      <w:headerReference w:type="default" r:id="rId8"/>
      <w:footerReference w:type="default" r:id="rId9"/>
      <w:pgSz w:w="16838" w:h="11906" w:orient="landscape"/>
      <w:pgMar w:top="1395" w:right="953" w:bottom="1276" w:left="1035" w:header="60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1716" w14:textId="77777777" w:rsidR="009C4D97" w:rsidRDefault="009C4D97">
      <w:r>
        <w:separator/>
      </w:r>
    </w:p>
  </w:endnote>
  <w:endnote w:type="continuationSeparator" w:id="0">
    <w:p w14:paraId="2F00826D" w14:textId="77777777" w:rsidR="009C4D97" w:rsidRDefault="009C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C470" w14:textId="77777777" w:rsidR="00FB51C5" w:rsidRDefault="008C6A79">
    <w:pPr>
      <w:pStyle w:val="Piedepgina"/>
      <w:jc w:val="both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C4835A" wp14:editId="4BF002B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56" cy="300956"/>
          <wp:effectExtent l="0" t="0" r="0" b="3844"/>
          <wp:wrapSquare wrapText="bothSides"/>
          <wp:docPr id="10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56" cy="3009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E85B1AA" w14:textId="77777777" w:rsidR="00FB51C5" w:rsidRDefault="009C4D97">
    <w:pPr>
      <w:pStyle w:val="Piedepgina"/>
      <w:jc w:val="center"/>
      <w:rPr>
        <w:sz w:val="20"/>
        <w:szCs w:val="20"/>
      </w:rPr>
    </w:pPr>
  </w:p>
  <w:p w14:paraId="29FD8A58" w14:textId="2BDDA255" w:rsidR="00FB51C5" w:rsidRDefault="008C6A79">
    <w:pPr>
      <w:pStyle w:val="Piedepgin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La rúbrica “</w:t>
    </w:r>
    <w:r w:rsidR="004E5E67" w:rsidRPr="004E5E67">
      <w:rPr>
        <w:rFonts w:ascii="Calibri" w:hAnsi="Calibri" w:cs="Calibri"/>
        <w:sz w:val="16"/>
        <w:szCs w:val="16"/>
      </w:rPr>
      <w:t xml:space="preserve">La </w:t>
    </w:r>
    <w:r w:rsidR="004B6828">
      <w:rPr>
        <w:rFonts w:ascii="Calibri" w:hAnsi="Calibri" w:cs="Calibri"/>
        <w:sz w:val="16"/>
        <w:szCs w:val="16"/>
      </w:rPr>
      <w:t>España del siglo XXI</w:t>
    </w:r>
    <w:r>
      <w:rPr>
        <w:rFonts w:ascii="Calibri" w:hAnsi="Calibri" w:cs="Calibri"/>
        <w:sz w:val="16"/>
        <w:szCs w:val="16"/>
      </w:rPr>
      <w:t xml:space="preserve">" del Área de Recursos Educativos Digitales del INTEF se encuentra bajo una Licencia </w:t>
    </w:r>
    <w:proofErr w:type="spellStart"/>
    <w:r>
      <w:rPr>
        <w:rFonts w:ascii="Calibri" w:hAnsi="Calibri" w:cs="Calibri"/>
        <w:sz w:val="16"/>
        <w:szCs w:val="16"/>
      </w:rPr>
      <w:t>Creative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Commons</w:t>
    </w:r>
    <w:proofErr w:type="spellEnd"/>
    <w:r>
      <w:rPr>
        <w:rFonts w:ascii="Calibri" w:hAnsi="Calibri" w:cs="Calibri"/>
        <w:sz w:val="16"/>
        <w:szCs w:val="16"/>
      </w:rPr>
      <w:t xml:space="preserve"> Atribución-</w:t>
    </w:r>
    <w:proofErr w:type="spellStart"/>
    <w:r>
      <w:rPr>
        <w:rFonts w:ascii="Calibri" w:hAnsi="Calibri" w:cs="Calibri"/>
        <w:sz w:val="16"/>
        <w:szCs w:val="16"/>
      </w:rPr>
      <w:t>CompartirIgual</w:t>
    </w:r>
    <w:proofErr w:type="spellEnd"/>
    <w:r>
      <w:rPr>
        <w:rFonts w:ascii="Calibri" w:hAnsi="Calibri" w:cs="Calibri"/>
        <w:sz w:val="16"/>
        <w:szCs w:val="16"/>
      </w:rPr>
      <w:t xml:space="preserve"> 4.0 España.</w:t>
    </w:r>
  </w:p>
  <w:p w14:paraId="7EB125A9" w14:textId="77777777" w:rsidR="00FB51C5" w:rsidRDefault="008C6A79">
    <w:pPr>
      <w:pStyle w:val="Standard"/>
      <w:jc w:val="right"/>
    </w:pPr>
    <w:r>
      <w:rPr>
        <w:rFonts w:ascii="Ubuntu" w:hAnsi="Ubuntu"/>
        <w:sz w:val="20"/>
        <w:szCs w:val="20"/>
      </w:rPr>
      <w:fldChar w:fldCharType="begin"/>
    </w:r>
    <w:r>
      <w:rPr>
        <w:rFonts w:ascii="Ubuntu" w:hAnsi="Ubuntu"/>
        <w:sz w:val="20"/>
        <w:szCs w:val="20"/>
      </w:rPr>
      <w:instrText xml:space="preserve"> PAGE </w:instrText>
    </w:r>
    <w:r>
      <w:rPr>
        <w:rFonts w:ascii="Ubuntu" w:hAnsi="Ubuntu"/>
        <w:sz w:val="20"/>
        <w:szCs w:val="20"/>
      </w:rPr>
      <w:fldChar w:fldCharType="separate"/>
    </w:r>
    <w:r>
      <w:rPr>
        <w:rFonts w:ascii="Ubuntu" w:hAnsi="Ubuntu"/>
        <w:sz w:val="20"/>
        <w:szCs w:val="20"/>
      </w:rPr>
      <w:t>1</w:t>
    </w:r>
    <w:r>
      <w:rPr>
        <w:rFonts w:ascii="Ubuntu" w:hAnsi="Ubuntu"/>
        <w:sz w:val="20"/>
        <w:szCs w:val="20"/>
      </w:rPr>
      <w:fldChar w:fldCharType="end"/>
    </w:r>
    <w:r>
      <w:rPr>
        <w:rFonts w:ascii="Ubuntu" w:hAnsi="Ubuntu"/>
        <w:sz w:val="20"/>
        <w:szCs w:val="20"/>
      </w:rPr>
      <w:t>/</w:t>
    </w:r>
    <w:r>
      <w:rPr>
        <w:rFonts w:ascii="Ubuntu" w:hAnsi="Ubuntu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0175" w14:textId="77777777" w:rsidR="009C4D97" w:rsidRDefault="009C4D97">
      <w:r>
        <w:rPr>
          <w:color w:val="000000"/>
        </w:rPr>
        <w:separator/>
      </w:r>
    </w:p>
  </w:footnote>
  <w:footnote w:type="continuationSeparator" w:id="0">
    <w:p w14:paraId="3DE80FA2" w14:textId="77777777" w:rsidR="009C4D97" w:rsidRDefault="009C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6D94" w14:textId="77777777" w:rsidR="00FB51C5" w:rsidRDefault="008C6A79">
    <w:pPr>
      <w:pStyle w:val="Encabezado"/>
      <w:jc w:val="right"/>
    </w:pPr>
    <w:r>
      <w:rPr>
        <w:noProof/>
      </w:rPr>
      <w:drawing>
        <wp:inline distT="0" distB="0" distL="0" distR="0" wp14:anchorId="7B081E17" wp14:editId="01773F50">
          <wp:extent cx="3000503" cy="542577"/>
          <wp:effectExtent l="0" t="0" r="9397" b="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503" cy="5425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4E6CA6A" w14:textId="77777777" w:rsidR="00FB51C5" w:rsidRDefault="009C4D97">
    <w:pPr>
      <w:pStyle w:val="Encabezado"/>
      <w:jc w:val="both"/>
      <w:rPr>
        <w:rFonts w:ascii="FreeSans" w:hAnsi="FreeSans" w:cs="FreeSans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6ED7"/>
    <w:multiLevelType w:val="multilevel"/>
    <w:tmpl w:val="E32241E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60626A6"/>
    <w:multiLevelType w:val="multilevel"/>
    <w:tmpl w:val="EEFCF8F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CD"/>
    <w:rsid w:val="0000470C"/>
    <w:rsid w:val="0005309C"/>
    <w:rsid w:val="000822C4"/>
    <w:rsid w:val="000B716D"/>
    <w:rsid w:val="001F6B72"/>
    <w:rsid w:val="00207784"/>
    <w:rsid w:val="00230C6A"/>
    <w:rsid w:val="003052C3"/>
    <w:rsid w:val="003067F8"/>
    <w:rsid w:val="00323F46"/>
    <w:rsid w:val="003337CD"/>
    <w:rsid w:val="00343413"/>
    <w:rsid w:val="00351A83"/>
    <w:rsid w:val="00387D75"/>
    <w:rsid w:val="003A3592"/>
    <w:rsid w:val="003A6BAC"/>
    <w:rsid w:val="003C7F7B"/>
    <w:rsid w:val="003D6FE5"/>
    <w:rsid w:val="00453C7F"/>
    <w:rsid w:val="004B6828"/>
    <w:rsid w:val="004E5E67"/>
    <w:rsid w:val="00545BCE"/>
    <w:rsid w:val="0058795D"/>
    <w:rsid w:val="005D3804"/>
    <w:rsid w:val="005F41F7"/>
    <w:rsid w:val="00621120"/>
    <w:rsid w:val="00635B5A"/>
    <w:rsid w:val="006435D5"/>
    <w:rsid w:val="006448D8"/>
    <w:rsid w:val="006F0894"/>
    <w:rsid w:val="00700885"/>
    <w:rsid w:val="007A180C"/>
    <w:rsid w:val="007A7969"/>
    <w:rsid w:val="00803D59"/>
    <w:rsid w:val="00897962"/>
    <w:rsid w:val="008C6A79"/>
    <w:rsid w:val="008D66D6"/>
    <w:rsid w:val="00994207"/>
    <w:rsid w:val="009C3612"/>
    <w:rsid w:val="009C4D97"/>
    <w:rsid w:val="009E274C"/>
    <w:rsid w:val="00A04EE9"/>
    <w:rsid w:val="00A405B6"/>
    <w:rsid w:val="00A94DAB"/>
    <w:rsid w:val="00B0366D"/>
    <w:rsid w:val="00B90EBF"/>
    <w:rsid w:val="00BB3DBD"/>
    <w:rsid w:val="00BF00BA"/>
    <w:rsid w:val="00BF720A"/>
    <w:rsid w:val="00C11D60"/>
    <w:rsid w:val="00D61A9B"/>
    <w:rsid w:val="00D6573D"/>
    <w:rsid w:val="00D76D19"/>
    <w:rsid w:val="00D77933"/>
    <w:rsid w:val="00D8543B"/>
    <w:rsid w:val="00DB2431"/>
    <w:rsid w:val="00DB7DBB"/>
    <w:rsid w:val="00E3064D"/>
    <w:rsid w:val="00E42DF2"/>
    <w:rsid w:val="00E706A0"/>
    <w:rsid w:val="00E8226B"/>
    <w:rsid w:val="00EA692F"/>
    <w:rsid w:val="00F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0DB5"/>
  <w15:docId w15:val="{99068CF3-7062-41C7-8C71-DACC92C4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Standard"/>
    <w:next w:val="Textbody"/>
    <w:uiPriority w:val="9"/>
    <w:semiHidden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\Desktop\R&#250;brica%20La%20Guerra%20Fr&#237;a%20y%20la%20pol&#237;tica%20de%20bloques.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2F5B-570B-4568-A609-AF9AA382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Rúbrica La Guerra Fría y la política de bloques. </Template>
  <TotalTime>8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PARA EVALUAR UN INFORME ESCRITO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EVALUAR UN INFORME ESCRITO</dc:title>
  <dc:creator>GUILLERMO BALMORI</dc:creator>
  <cp:lastModifiedBy>Guillermo BALMORI ABELLA</cp:lastModifiedBy>
  <cp:revision>4</cp:revision>
  <cp:lastPrinted>2021-08-17T13:11:00Z</cp:lastPrinted>
  <dcterms:created xsi:type="dcterms:W3CDTF">2021-08-21T07:08:00Z</dcterms:created>
  <dcterms:modified xsi:type="dcterms:W3CDTF">2021-08-21T07:16:00Z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