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200" w:lineRule="auto"/>
        <w:rPr>
          <w:rFonts w:ascii="Sarakanda" w:cs="Sarakanda" w:eastAsia="Sarakanda" w:hAnsi="Sarakanda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7153540</wp:posOffset>
            </wp:positionH>
            <wp:positionV relativeFrom="paragraph">
              <wp:posOffset>0</wp:posOffset>
            </wp:positionV>
            <wp:extent cx="1866635" cy="404813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635" cy="404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408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85"/>
        <w:tblGridChange w:id="0">
          <w:tblGrid>
            <w:gridCol w:w="14085"/>
          </w:tblGrid>
        </w:tblGridChange>
      </w:tblGrid>
      <w:tr>
        <w:trPr>
          <w:trHeight w:val="30" w:hRule="atLeast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40" w:lineRule="auto"/>
              <w:jc w:val="center"/>
              <w:rPr>
                <w:rFonts w:ascii="Sarakanda" w:cs="Sarakanda" w:eastAsia="Sarakanda" w:hAnsi="Sarakand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rakanda" w:cs="Sarakanda" w:eastAsia="Sarakanda" w:hAnsi="Sarakanda"/>
                <w:b w:val="1"/>
                <w:sz w:val="24"/>
                <w:szCs w:val="24"/>
                <w:rtl w:val="0"/>
              </w:rPr>
              <w:t xml:space="preserve">RÚBRICA DEL GÉNERO DISCURSIVO DE LA EXPOSICIÓN</w:t>
            </w:r>
          </w:p>
        </w:tc>
      </w:tr>
    </w:tbl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200" w:before="200" w:lineRule="auto"/>
        <w:rPr>
          <w:rFonts w:ascii="Sarakanda" w:cs="Sarakanda" w:eastAsia="Sarakanda" w:hAnsi="Sarakand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200" w:before="200" w:lineRule="auto"/>
        <w:rPr>
          <w:b w:val="1"/>
          <w:i w:val="1"/>
          <w:color w:val="404040"/>
          <w:sz w:val="28"/>
          <w:szCs w:val="28"/>
        </w:rPr>
      </w:pPr>
      <w:r w:rsidDel="00000000" w:rsidR="00000000" w:rsidRPr="00000000">
        <w:rPr>
          <w:rFonts w:ascii="Sarakanda" w:cs="Sarakanda" w:eastAsia="Sarakanda" w:hAnsi="Sarakanda"/>
          <w:sz w:val="24"/>
          <w:szCs w:val="24"/>
          <w:rtl w:val="0"/>
        </w:rPr>
        <w:t xml:space="preserve">Nombre del alumno o alumnos:________________________________________________________________________________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820.0" w:type="dxa"/>
        <w:jc w:val="left"/>
        <w:tblInd w:w="-225.0" w:type="dxa"/>
        <w:tblLayout w:type="fixed"/>
        <w:tblLook w:val="0000"/>
      </w:tblPr>
      <w:tblGrid>
        <w:gridCol w:w="1860"/>
        <w:gridCol w:w="3150"/>
        <w:gridCol w:w="3330"/>
        <w:gridCol w:w="3210"/>
        <w:gridCol w:w="3270"/>
        <w:tblGridChange w:id="0">
          <w:tblGrid>
            <w:gridCol w:w="1860"/>
            <w:gridCol w:w="3150"/>
            <w:gridCol w:w="3330"/>
            <w:gridCol w:w="3210"/>
            <w:gridCol w:w="32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before="20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ASPECTOS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07">
            <w:pPr>
              <w:spacing w:after="200" w:before="400" w:line="273.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Excelente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vAlign w:val="center"/>
          </w:tcPr>
          <w:p w:rsidR="00000000" w:rsidDel="00000000" w:rsidP="00000000" w:rsidRDefault="00000000" w:rsidRPr="00000000" w14:paraId="00000008">
            <w:pPr>
              <w:spacing w:after="200" w:before="400" w:line="273.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7ba0" w:val="clear"/>
            <w:vAlign w:val="center"/>
          </w:tcPr>
          <w:p w:rsidR="00000000" w:rsidDel="00000000" w:rsidP="00000000" w:rsidRDefault="00000000" w:rsidRPr="00000000" w14:paraId="00000009">
            <w:pPr>
              <w:spacing w:after="200" w:before="400" w:line="273.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Regular/insuficiente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966" w:val="clear"/>
            <w:vAlign w:val="center"/>
          </w:tcPr>
          <w:p w:rsidR="00000000" w:rsidDel="00000000" w:rsidP="00000000" w:rsidRDefault="00000000" w:rsidRPr="00000000" w14:paraId="0000000A">
            <w:pPr>
              <w:spacing w:after="200" w:before="400" w:line="273.6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Sarakanda" w:cs="Sarakanda" w:eastAsia="Sarakanda" w:hAnsi="Sarakanda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CONCEPTO DE GÉNERO DISCURSIVO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6"/>
                <w:szCs w:val="16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entiende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6"/>
                <w:szCs w:val="16"/>
                <w:rtl w:val="0"/>
              </w:rPr>
              <w:t xml:space="preserve">concepto de género discursivo</w:t>
            </w: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 y reconoce su presencia y utilidad en la vida cotidiana, así como la importancia de desarrollar su propia competencia lingüística.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6"/>
                <w:szCs w:val="16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entiende el concepto de género discursivo y reconoce su presencia y utilidad en la vida cotidiana, pero no muestra conciencia sobre la importancia de desarrollar su competencia lingüística.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6"/>
                <w:szCs w:val="16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no entiende bien el concepto de género discursivo, aunque reconoce su presencia y utilidad en la vida cotidiana; no muestra conciencia sobre la importancia la competencia lingüística.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100" w:before="10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no entiende el concepto de género discursivo ni reconoce su presencia y utilidad en la vida cotidiana; no muestra conciencia sobre la importancia la competencia lingüística.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Sarakanda" w:cs="Sarakanda" w:eastAsia="Sarakanda" w:hAnsi="Sarakanda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CONCEPTO Y ELEMENTOS DE LA SITUACIÓN COMUNICATIVA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6"/>
                <w:szCs w:val="16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entiende el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6"/>
                <w:szCs w:val="16"/>
                <w:rtl w:val="0"/>
              </w:rPr>
              <w:t xml:space="preserve">concepto de situación comunicativa</w:t>
            </w: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 y analiza correctamente sus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6"/>
                <w:szCs w:val="16"/>
                <w:rtl w:val="0"/>
              </w:rPr>
              <w:t xml:space="preserve">elementos básicos</w:t>
            </w: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: interlocutor, contexto, canal y objetivo.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6"/>
                <w:szCs w:val="16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entiende el concepto de situación comunicativa pero comete errores al analizar sus elementos básicos: interlocutor, contexto, canal y objetivo.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6"/>
                <w:szCs w:val="16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no entiende bien el concepto de situación comunicativa y comete errores al analizar sus elementos básicos: interlocutor, contexto, canal y objetivo.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100" w:before="10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desconoce el concepto de situación comunicativa y sus elementos básicos: interlocutor, contexto, canal y objetivo.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Sarakanda" w:cs="Sarakanda" w:eastAsia="Sarakanda" w:hAnsi="Sarakanda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ANÁLISIS Y COMPOSICIÓN DE ESTRUCTURAS EXPOSITIVAS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6"/>
                <w:szCs w:val="16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6"/>
                <w:szCs w:val="16"/>
                <w:rtl w:val="0"/>
              </w:rPr>
              <w:t xml:space="preserve">identifica </w:t>
            </w: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distintos tipos de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6"/>
                <w:szCs w:val="16"/>
                <w:rtl w:val="0"/>
              </w:rPr>
              <w:t xml:space="preserve">estructura expositiva</w:t>
            </w: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 (cronología, jerarquía, causa-efecto, etc.) y las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6"/>
                <w:szCs w:val="16"/>
                <w:rtl w:val="0"/>
              </w:rPr>
              <w:t xml:space="preserve">emplea </w:t>
            </w: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de forma coherente para componer sus propios textos y conferencias.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6"/>
                <w:szCs w:val="16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identifica distintos tipos de estructura expositiva (cronología, jerarquía, causa-efecto, etc.), pero incurre en alguna incoherencia al componer la secuencia de ideas de sus propios textos y conferencias.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6"/>
                <w:szCs w:val="16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tiene dificultad para identificar distintos tipos de estructura expositiva (cronología, jerarquía, causa-efecto, etc.) e incurre en algunas incoherencias al componer la secuencia de ideas de sus propios textos y conferencias.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100" w:before="10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no identifica distintos tipos de estructura expositiva (cronología, jerarquía, causa-efecto, etc.) ni es capaz de componer textos o conferencias coherentes.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Sarakanda" w:cs="Sarakanda" w:eastAsia="Sarakanda" w:hAnsi="Sarakanda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ANÁLISIS Y USO DE LA OBJETIVIDAD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sabe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6"/>
                <w:szCs w:val="16"/>
                <w:rtl w:val="0"/>
              </w:rPr>
              <w:t xml:space="preserve">identificar y emplear recursos propios leguaje objetivo</w:t>
            </w: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: uso de tercera persona, fórmulas impersonales y denotación.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conoce los rasgos característicos del lenguaje objetivo y subjetivo, pero confunde a veces los matices sutiles que los distingue y no identifica del todo la frontera entre ambos al interpretar o componer textos.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puede distinguir de forma intuitiva aunque deficiente la objetividad de la subjetividad, pero desconoce los rasgos característicos de ambas.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100" w:before="100" w:lineRule="auto"/>
              <w:jc w:val="both"/>
              <w:rPr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desconoce los rasgos distintivos de la objetividad y la subjetividad y no es capaz de apreciar la diferencia entre ambas.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Sarakanda" w:cs="Sarakanda" w:eastAsia="Sarakanda" w:hAnsi="Sarakanda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ANÁLISIS Y USO DE LÉXICO ESPECIALIZADO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6"/>
                <w:szCs w:val="16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6"/>
                <w:szCs w:val="16"/>
                <w:rtl w:val="0"/>
              </w:rPr>
              <w:t xml:space="preserve">utiliza el léxico académico propio de su curso escolar, adecuado al tema tratado</w:t>
            </w: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 y con los </w:t>
            </w:r>
            <w:r w:rsidDel="00000000" w:rsidR="00000000" w:rsidRPr="00000000">
              <w:rPr>
                <w:rFonts w:ascii="Sarakanda" w:cs="Sarakanda" w:eastAsia="Sarakanda" w:hAnsi="Sarakanda"/>
                <w:b w:val="1"/>
                <w:sz w:val="16"/>
                <w:szCs w:val="16"/>
                <w:rtl w:val="0"/>
              </w:rPr>
              <w:t xml:space="preserve">tecnicismos </w:t>
            </w: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que este requeira. No repite palabras.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6"/>
                <w:szCs w:val="16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utiliza el léxico académico propio de su curso escolar, aunque incurre en algunas repeticiones y no utiliza suficientes cultimos o tecnicismos cuando la situación lo exige.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6"/>
                <w:szCs w:val="16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utiliza un léxico académico pobre para para su curso escolar, incurre en repeticiones y no utiliza suficientes cultimos o tecnicismos cuando la situación lo exige.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100" w:before="100" w:lineRule="auto"/>
              <w:jc w:val="both"/>
              <w:rPr>
                <w:rFonts w:ascii="Sarakanda" w:cs="Sarakanda" w:eastAsia="Sarakanda" w:hAnsi="Sarakanda"/>
                <w:sz w:val="16"/>
                <w:szCs w:val="16"/>
              </w:rPr>
            </w:pPr>
            <w:r w:rsidDel="00000000" w:rsidR="00000000" w:rsidRPr="00000000">
              <w:rPr>
                <w:rFonts w:ascii="Sarakanda" w:cs="Sarakanda" w:eastAsia="Sarakanda" w:hAnsi="Sarakanda"/>
                <w:sz w:val="16"/>
                <w:szCs w:val="16"/>
                <w:rtl w:val="0"/>
              </w:rPr>
              <w:t xml:space="preserve">El alumno carece de vocabulario académico, no dispone de una base léxica para el registro formal e incurre en constantes repeticiones.</w:t>
            </w:r>
          </w:p>
        </w:tc>
      </w:tr>
    </w:tbl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tabs>
          <w:tab w:val="center" w:pos="4252"/>
          <w:tab w:val="right" w:pos="8504"/>
        </w:tabs>
        <w:spacing w:line="240" w:lineRule="auto"/>
        <w:jc w:val="center"/>
        <w:rPr>
          <w:b w:val="1"/>
          <w:i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1906" w:w="16838" w:orient="landscape"/>
      <w:pgMar w:bottom="340.15748031496065" w:top="430.8661417322835" w:left="1354.96062992126" w:right="1354.96062992126" w:header="0" w:footer="170.078740157480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Sarakanda"/>
  <w:font w:name="Helvetica Neue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center" w:pos="4252"/>
        <w:tab w:val="right" w:pos="8504"/>
      </w:tabs>
      <w:spacing w:line="240" w:lineRule="auto"/>
      <w:jc w:val="center"/>
      <w:rPr>
        <w:rFonts w:ascii="Helvetica Neue Light" w:cs="Helvetica Neue Light" w:eastAsia="Helvetica Neue Light" w:hAnsi="Helvetica Neue Light"/>
        <w:i w:val="1"/>
        <w:sz w:val="14"/>
        <w:szCs w:val="14"/>
      </w:rPr>
    </w:pPr>
    <w:r w:rsidDel="00000000" w:rsidR="00000000" w:rsidRPr="00000000">
      <w:rPr>
        <w:rFonts w:ascii="Helvetica Neue Light" w:cs="Helvetica Neue Light" w:eastAsia="Helvetica Neue Light" w:hAnsi="Helvetica Neue Light"/>
        <w:sz w:val="16"/>
        <w:szCs w:val="16"/>
      </w:rPr>
      <w:drawing>
        <wp:inline distB="101600" distT="0" distL="0" distR="0">
          <wp:extent cx="790575" cy="28002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575" cy="2800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Helvetica Neue Light" w:cs="Helvetica Neue Light" w:eastAsia="Helvetica Neue Light" w:hAnsi="Helvetica Neue Light"/>
        <w:i w:val="1"/>
        <w:sz w:val="14"/>
        <w:szCs w:val="14"/>
        <w:rtl w:val="0"/>
      </w:rPr>
      <w:t xml:space="preserve">La rúbrica de “Género discursivo de la exposición” </w:t>
    </w:r>
    <w:r w:rsidDel="00000000" w:rsidR="00000000" w:rsidRPr="00000000">
      <w:rPr>
        <w:rFonts w:ascii="Helvetica Neue Light" w:cs="Helvetica Neue Light" w:eastAsia="Helvetica Neue Light" w:hAnsi="Helvetica Neue Light"/>
        <w:sz w:val="14"/>
        <w:szCs w:val="14"/>
        <w:rtl w:val="0"/>
      </w:rPr>
      <w:t xml:space="preserve">del Área de Recursos Educativos Digitales (INTEF) se encuentra bajo una Licencia Creative Commons Atribución-CompartirIgual 4.0 España.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Light-regular.ttf"/><Relationship Id="rId2" Type="http://schemas.openxmlformats.org/officeDocument/2006/relationships/font" Target="fonts/HelveticaNeueLight-bold.ttf"/><Relationship Id="rId3" Type="http://schemas.openxmlformats.org/officeDocument/2006/relationships/font" Target="fonts/HelveticaNeueLight-italic.ttf"/><Relationship Id="rId4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