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fr-FR"/>
        </w:rPr>
        <w:t>Nombre de</w:t>
      </w:r>
      <w:r>
        <w:rPr>
          <w:rStyle w:val="Ninguno"/>
          <w:rtl w:val="0"/>
          <w:lang w:val="es-ES_tradnl"/>
        </w:rPr>
        <w:t>l alumn</w:t>
      </w:r>
      <w:r>
        <w:rPr>
          <w:rStyle w:val="Ninguno"/>
          <w:rtl w:val="0"/>
          <w:lang w:val="es-ES_tradnl"/>
        </w:rPr>
        <w:t>o/a</w:t>
      </w:r>
      <w:r>
        <w:rPr>
          <w:rStyle w:val="Ninguno"/>
          <w:rtl w:val="0"/>
          <w:lang w:val="en-US"/>
        </w:rPr>
        <w:t>:______________________________________________</w:t>
      </w:r>
      <w:r>
        <w:rPr>
          <w:rStyle w:val="Ninguno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7816215</wp:posOffset>
            </wp:positionH>
            <wp:positionV relativeFrom="page">
              <wp:posOffset>358140</wp:posOffset>
            </wp:positionV>
            <wp:extent cx="2371725" cy="428875"/>
            <wp:effectExtent l="0" t="0" r="0" b="0"/>
            <wp:wrapSquare wrapText="bothSides" distL="0" distR="0" distT="0" dist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n-US"/>
        </w:rPr>
        <w:t>_______________________________________________________________</w:t>
      </w:r>
    </w:p>
    <w:tbl>
      <w:tblPr>
        <w:tblW w:w="154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41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BRICA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“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LAS ORACIONES ENUNCIATIVAS AFIRMATIVAS Y NEGATIVAS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”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</w:p>
    <w:tbl>
      <w:tblPr>
        <w:tblW w:w="153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75"/>
        <w:gridCol w:w="4076"/>
        <w:gridCol w:w="3697"/>
        <w:gridCol w:w="3477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sz w:val="18"/>
                <w:szCs w:val="18"/>
                <w:rtl w:val="0"/>
                <w:lang w:val="es-ES_tradnl"/>
              </w:rPr>
              <w:t>ASPECTOS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3c47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3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a6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2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b w:val="1"/>
                <w:bCs w:val="1"/>
                <w:sz w:val="18"/>
                <w:szCs w:val="18"/>
              </w:rPr>
            </w:pPr>
            <w:r>
              <w:rPr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ORACIONES ENUNCIATIVAS AFIRMATIVAS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Ubuntu" w:cs="Ubuntu" w:hAnsi="Ubuntu" w:eastAsia="Ubuntu"/>
                <w:sz w:val="18"/>
                <w:szCs w:val="18"/>
                <w:rtl w:val="0"/>
              </w:rPr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enunciativas afirmativas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capaz de reconocerlas y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las oraciones enunciativas afirmativas pero no sabe explicarlas.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enunciativas afirmativas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o no sabe poner ejemplos.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ORACIONES ENUNCIATIVAS NEGATIVAS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30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enunciativas negativas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capaz de reconocerlas y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Reconoce las oraciones enunciativas negativas pero no sabe explicarlas.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son las oraciones enunciativas negativas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o no sabe poner ejemplos.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 la capacidad del alumno para desenvolverse con soltura en la resoluci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tareas con el dispositivo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alumno es capaz de desenvolverse con soltura con las TIC.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dificultades para utilizar las TIC con las finalidades propuestas.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es capaz de utilizar las TIC con las finalidades educativas propuestas.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SOCIAL Y C</w:t>
            </w:r>
            <w:r>
              <w:rPr>
                <w:rStyle w:val="Ninguno"/>
                <w:rFonts w:ascii="Ubuntu" w:cs="Ubuntu" w:hAnsi="Ubuntu" w:eastAsia="Ubuntu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VICA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Se refiere a la capacidad del alumno para respetar: el turno de palabra, silencio, escucha activa</w:t>
            </w:r>
            <w:r>
              <w:rPr>
                <w:rStyle w:val="Ninguno"/>
                <w:rFonts w:ascii="Trebuchet MS" w:hAnsi="Trebuchet MS" w:hint="default"/>
                <w:sz w:val="18"/>
                <w:szCs w:val="18"/>
                <w:rtl w:val="0"/>
                <w:lang w:val="es-ES_tradnl"/>
              </w:rPr>
              <w:t>…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y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pero no sigue siempre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conoce o no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SENTIDO DE LA INICIATIVA Y ESP</w:t>
            </w:r>
            <w:r>
              <w:rPr>
                <w:rFonts w:ascii="Ubuntu" w:cs="Ubuntu" w:hAnsi="Ubuntu" w:eastAsia="Ubuntu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RITU EMPRENDEDOR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refiere al grado de adquisici</w:t>
            </w:r>
            <w:r>
              <w:rPr>
                <w:rFonts w:ascii="Ubuntu" w:cs="Ubuntu" w:hAnsi="Ubuntu" w:eastAsia="Ubuntu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esta competencia.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iniciativa y es emprendedor a la hora de realizar las actividades.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ocasiones tiene iniciativa o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a la hora de realizar las actividades.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tiene iniciativa ni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en la realizaci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las actividades.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1800" w:right="678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ource Sans Pro">
    <w:charset w:val="00"/>
    <w:family w:val="roman"/>
    <w:pitch w:val="default"/>
  </w:font>
  <w:font w:name="Ubunt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ú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brica 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Las oraciones enunciativas afirmativas y negativas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  <w:tabs>
        <w:tab w:val="clear" w:pos="4252"/>
        <w:tab w:val="clear" w:pos="8504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Ninguno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5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y-sa.png" descr="by-s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Las oraciones enunciativas afirmativas y negativas</w:t>
    </w:r>
    <w:r>
      <w:rPr>
        <w:rStyle w:val="Ninguno"/>
        <w:b w:val="1"/>
        <w:bCs w:val="1"/>
        <w:rtl w:val="0"/>
        <w:lang w:val="es-ES_tradnl"/>
      </w:rPr>
      <w:t>.</w:t>
    </w:r>
    <w:r>
      <w:tab/>
      <w:tab/>
    </w:r>
  </w:p>
  <w:p>
    <w:pPr>
      <w:pStyle w:val="head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