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45.0" w:type="dxa"/>
        <w:jc w:val="left"/>
        <w:tblInd w:w="0.0" w:type="dxa"/>
        <w:tblLayout w:type="fixed"/>
        <w:tblLook w:val="0400"/>
      </w:tblPr>
      <w:tblGrid>
        <w:gridCol w:w="15345"/>
        <w:tblGridChange w:id="0">
          <w:tblGrid>
            <w:gridCol w:w="15345"/>
          </w:tblGrid>
        </w:tblGridChange>
      </w:tblGrid>
      <w:tr>
        <w:trPr>
          <w:trHeight w:val="387.780000000000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tabs>
                <w:tab w:val="left" w:pos="709"/>
                <w:tab w:val="left" w:pos="8772"/>
                <w:tab w:val="left" w:pos="8832"/>
              </w:tabs>
              <w:spacing w:after="0" w:line="240" w:lineRule="auto"/>
              <w:ind w:right="105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000000"/>
                <w:rtl w:val="0"/>
              </w:rPr>
              <w:t xml:space="preserve">RÚBRICA </w:t>
            </w: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EL ESQUEMA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spacing w:after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Ubuntu" w:cs="Ubuntu" w:eastAsia="Ubuntu" w:hAnsi="Ubuntu"/>
          <w:sz w:val="16"/>
          <w:szCs w:val="16"/>
          <w:rtl w:val="0"/>
        </w:rPr>
        <w:t xml:space="preserve">.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br w:type="textWrapping"/>
      </w:r>
      <w:r w:rsidDel="00000000" w:rsidR="00000000" w:rsidRPr="00000000">
        <w:rPr>
          <w:rFonts w:ascii="Ubuntu" w:cs="Ubuntu" w:eastAsia="Ubuntu" w:hAnsi="Ubuntu"/>
          <w:color w:val="000000"/>
          <w:sz w:val="20"/>
          <w:szCs w:val="20"/>
          <w:rtl w:val="0"/>
        </w:rPr>
        <w:t xml:space="preserve">Nombre del alumno o alumnos: </w:t>
      </w:r>
      <w:r w:rsidDel="00000000" w:rsidR="00000000" w:rsidRPr="00000000">
        <w:rPr>
          <w:rFonts w:ascii="Ubuntu" w:cs="Ubuntu" w:eastAsia="Ubuntu" w:hAnsi="Ubuntu"/>
          <w:color w:val="000000"/>
          <w:sz w:val="18"/>
          <w:szCs w:val="18"/>
          <w:rtl w:val="0"/>
        </w:rPr>
        <w:t xml:space="preserve">______________________________________________________</w:t>
      </w:r>
      <w:r w:rsidDel="00000000" w:rsidR="00000000" w:rsidRPr="00000000">
        <w:rPr>
          <w:rtl w:val="0"/>
        </w:rPr>
      </w:r>
    </w:p>
    <w:tbl>
      <w:tblPr>
        <w:tblStyle w:val="Table2"/>
        <w:tblW w:w="15255.0" w:type="dxa"/>
        <w:jc w:val="left"/>
        <w:tblInd w:w="140.0" w:type="pc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5640"/>
        <w:gridCol w:w="2985"/>
        <w:gridCol w:w="2820"/>
        <w:gridCol w:w="2640"/>
        <w:gridCol w:w="1170"/>
        <w:tblGridChange w:id="0">
          <w:tblGrid>
            <w:gridCol w:w="5640"/>
            <w:gridCol w:w="2985"/>
            <w:gridCol w:w="2820"/>
            <w:gridCol w:w="2640"/>
            <w:gridCol w:w="1170"/>
          </w:tblGrid>
        </w:tblGridChange>
      </w:tblGrid>
      <w:tr>
        <w:trPr>
          <w:trHeight w:val="594.96093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ff"/>
                <w:sz w:val="24"/>
                <w:szCs w:val="24"/>
                <w:rtl w:val="0"/>
              </w:rPr>
              <w:t xml:space="preserve">Indicadores de evaluación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 Consigue</w:t>
            </w:r>
          </w:p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 dificultad</w:t>
            </w:r>
          </w:p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 lo consigue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Puntos</w:t>
            </w:r>
          </w:p>
        </w:tc>
      </w:tr>
      <w:tr>
        <w:trPr>
          <w:trHeight w:val="93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Estándar 4.1.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Capta el propósito de los mismos. Identifica las partes de la estructura organizativa de los textos y analiza su progresión temática.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CCL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Entiende el texto y saca las ideas principales y secundarias..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Comprende</w:t>
            </w: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 el texto y sacas las ideas principales, pero no las secundarias..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No comprende el texto y no saca ningún tipo de idea.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5.3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Estándar 4.2.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Elabora resúmenes de textos leídos. Identifica los elementos característicos de los diferentes tipos de textos. 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CCL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CPAA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Identifica todos los elementos característicos de un texto.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Identifica algunos de los elementos característicos de un texto.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No identifica nada.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.3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Estándar 4.3.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Reconoce algunos mecanismos de cohesión en diferentes tipos de texto.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CCL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Identifica todos los mecanismos de cohesión  de un texto.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Identifica algunos de los mecanismos de cohesión  de un texto.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No identifica nada.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0.3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Estándar 5.2.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Marca las palabras clave de un texto que ayudan a la comprensión global.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CCL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CPAA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Marca todas las palabras claves.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Marca algunas de las palabras claves.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No marca ninguna palabra clave.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5.3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Estándar 5.3.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Activa conocimientos previos ayudándose de ellos para comprender un texto.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CCL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CPAA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Los activa en todos los textos independientemente de la temática y estilo de texto.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Los activa algunas veces y dependiendo de la temática y estilo de texto.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No consigue activar los conocimientos previos.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.3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Estándar 8.1.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Usa con eficacia las nuevas tecnologías para escribir, presentar los textos y buscar información.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CD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Usa de forma eficaz las nuevas tecnologías para realizar los esquemas.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Le cuesta usar las nuevas tecnologías para la realización de esquemas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Es incapaz de usar las nuevas tecnologías para realizar esquemas.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1700.7874015748032" w:top="1133.8582677165355" w:left="708.6614173228347" w:right="680.314960629921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4514850</wp:posOffset>
          </wp:positionH>
          <wp:positionV relativeFrom="paragraph">
            <wp:posOffset>58420</wp:posOffset>
          </wp:positionV>
          <wp:extent cx="781050" cy="273050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Helvetica Neue Light" w:cs="Helvetica Neue Light" w:eastAsia="Helvetica Neue Light" w:hAnsi="Helvetica Neue Light"/>
        <w:sz w:val="16"/>
        <w:szCs w:val="16"/>
        <w:rtl w:val="0"/>
      </w:rPr>
      <w:t xml:space="preserve">Rúbrica recurso “El Esquema”</w:t>
    </w:r>
    <w:r w:rsidDel="00000000" w:rsidR="00000000" w:rsidRPr="00000000"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de Área de Recursos Educativos Digitales (INTEF) se encuentra bajo una Licencia Creative Commons Atribución-CompartirIgual 4.0 España. </w:t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tabs>
        <w:tab w:val="center" w:pos="4252"/>
        <w:tab w:val="right" w:pos="8504"/>
      </w:tabs>
      <w:spacing w:after="0" w:line="240" w:lineRule="auto"/>
      <w:rPr>
        <w:rFonts w:ascii="Helvetica Neue Light" w:cs="Helvetica Neue Light" w:eastAsia="Helvetica Neue Light" w:hAnsi="Helvetica Neue Light"/>
      </w:rPr>
    </w:pPr>
    <w:r w:rsidDel="00000000" w:rsidR="00000000" w:rsidRPr="00000000">
      <w:rPr>
        <w:rFonts w:ascii="Helvetica Neue Light" w:cs="Helvetica Neue Light" w:eastAsia="Helvetica Neue Light" w:hAnsi="Helvetica Neue Light"/>
        <w:rtl w:val="0"/>
      </w:rPr>
      <w:t xml:space="preserve">Lengua Castellana y Literatura 4º de Primaria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6877685</wp:posOffset>
          </wp:positionH>
          <wp:positionV relativeFrom="paragraph">
            <wp:posOffset>-229869</wp:posOffset>
          </wp:positionV>
          <wp:extent cx="2926080" cy="638175"/>
          <wp:effectExtent b="0" l="0" r="0" t="0"/>
          <wp:wrapSquare wrapText="bothSides" distB="0" distT="0" distL="0" distR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6877685</wp:posOffset>
          </wp:positionH>
          <wp:positionV relativeFrom="paragraph">
            <wp:posOffset>-229869</wp:posOffset>
          </wp:positionV>
          <wp:extent cx="2926080" cy="638175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tabs>
        <w:tab w:val="center" w:pos="4252"/>
        <w:tab w:val="right" w:pos="8504"/>
      </w:tabs>
      <w:spacing w:after="0" w:line="240" w:lineRule="auto"/>
      <w:rPr>
        <w:rFonts w:ascii="Helvetica Neue Light" w:cs="Helvetica Neue Light" w:eastAsia="Helvetica Neue Light" w:hAnsi="Helvetica Neue Light"/>
      </w:rPr>
    </w:pPr>
    <w:r w:rsidDel="00000000" w:rsidR="00000000" w:rsidRPr="00000000">
      <w:rPr>
        <w:rFonts w:ascii="Helvetica Neue Light" w:cs="Helvetica Neue Light" w:eastAsia="Helvetica Neue Light" w:hAnsi="Helvetica Neue Light"/>
        <w:rtl w:val="0"/>
      </w:rPr>
      <w:t xml:space="preserve">Recurso: El Esquema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